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8F0" w:rsidRPr="009738F0" w:rsidRDefault="009738F0" w:rsidP="009738F0">
      <w:pPr>
        <w:tabs>
          <w:tab w:val="center" w:pos="4320"/>
          <w:tab w:val="right" w:pos="8640"/>
        </w:tabs>
        <w:contextualSpacing/>
        <w:mirrorIndents/>
        <w:jc w:val="center"/>
        <w:rPr>
          <w:rFonts w:asciiTheme="minorHAnsi" w:hAnsiTheme="minorHAnsi" w:cstheme="minorHAnsi"/>
          <w:b/>
          <w:sz w:val="28"/>
          <w:szCs w:val="28"/>
        </w:rPr>
      </w:pPr>
      <w:r w:rsidRPr="009738F0">
        <w:rPr>
          <w:rFonts w:asciiTheme="minorHAnsi" w:hAnsiTheme="minorHAnsi" w:cstheme="minorHAnsi"/>
          <w:b/>
          <w:sz w:val="28"/>
          <w:szCs w:val="28"/>
        </w:rPr>
        <w:t xml:space="preserve">Virgin Islands Economic Development </w:t>
      </w:r>
      <w:r w:rsidR="00633027">
        <w:rPr>
          <w:rFonts w:asciiTheme="minorHAnsi" w:hAnsiTheme="minorHAnsi" w:cstheme="minorHAnsi"/>
          <w:b/>
          <w:sz w:val="28"/>
          <w:szCs w:val="28"/>
        </w:rPr>
        <w:t>Commission</w:t>
      </w:r>
    </w:p>
    <w:p w:rsidR="00447B08" w:rsidRDefault="00832AEC" w:rsidP="009738F0">
      <w:pPr>
        <w:tabs>
          <w:tab w:val="center" w:pos="4320"/>
          <w:tab w:val="right" w:pos="8640"/>
        </w:tabs>
        <w:contextualSpacing/>
        <w:mirrorIndents/>
        <w:jc w:val="center"/>
        <w:rPr>
          <w:rFonts w:asciiTheme="minorHAnsi" w:hAnsiTheme="minorHAnsi" w:cstheme="minorHAnsi"/>
          <w:b/>
          <w:sz w:val="28"/>
          <w:szCs w:val="28"/>
        </w:rPr>
      </w:pPr>
      <w:r>
        <w:rPr>
          <w:rFonts w:asciiTheme="minorHAnsi" w:hAnsiTheme="minorHAnsi" w:cstheme="minorHAnsi"/>
          <w:b/>
          <w:sz w:val="28"/>
          <w:szCs w:val="28"/>
        </w:rPr>
        <w:t>Decision Meeting</w:t>
      </w:r>
      <w:r w:rsidR="009738F0" w:rsidRPr="009738F0">
        <w:rPr>
          <w:rFonts w:asciiTheme="minorHAnsi" w:hAnsiTheme="minorHAnsi" w:cstheme="minorHAnsi"/>
          <w:b/>
          <w:sz w:val="28"/>
          <w:szCs w:val="28"/>
        </w:rPr>
        <w:t xml:space="preserve"> of </w:t>
      </w:r>
      <w:r w:rsidR="00610C05">
        <w:rPr>
          <w:rFonts w:asciiTheme="minorHAnsi" w:hAnsiTheme="minorHAnsi" w:cstheme="minorHAnsi"/>
          <w:b/>
          <w:sz w:val="28"/>
          <w:szCs w:val="28"/>
        </w:rPr>
        <w:t>T</w:t>
      </w:r>
      <w:r w:rsidR="00D27F7E">
        <w:rPr>
          <w:rFonts w:asciiTheme="minorHAnsi" w:hAnsiTheme="minorHAnsi" w:cstheme="minorHAnsi"/>
          <w:b/>
          <w:sz w:val="28"/>
          <w:szCs w:val="28"/>
        </w:rPr>
        <w:t xml:space="preserve">hursday, July </w:t>
      </w:r>
      <w:r w:rsidR="00177D12">
        <w:rPr>
          <w:rFonts w:asciiTheme="minorHAnsi" w:hAnsiTheme="minorHAnsi" w:cstheme="minorHAnsi"/>
          <w:b/>
          <w:sz w:val="28"/>
          <w:szCs w:val="28"/>
        </w:rPr>
        <w:t>22</w:t>
      </w:r>
      <w:r w:rsidR="00267A21">
        <w:rPr>
          <w:rFonts w:asciiTheme="minorHAnsi" w:hAnsiTheme="minorHAnsi" w:cstheme="minorHAnsi"/>
          <w:b/>
          <w:sz w:val="28"/>
          <w:szCs w:val="28"/>
        </w:rPr>
        <w:t>, 2021</w:t>
      </w:r>
    </w:p>
    <w:p w:rsidR="005B1A21" w:rsidRPr="009738F0" w:rsidRDefault="005D3B6D" w:rsidP="009738F0">
      <w:pPr>
        <w:tabs>
          <w:tab w:val="center" w:pos="4320"/>
          <w:tab w:val="right" w:pos="8640"/>
        </w:tabs>
        <w:contextualSpacing/>
        <w:mirrorIndents/>
        <w:jc w:val="center"/>
        <w:rPr>
          <w:rFonts w:asciiTheme="minorHAnsi" w:hAnsiTheme="minorHAnsi" w:cstheme="minorHAnsi"/>
          <w:b/>
          <w:sz w:val="28"/>
          <w:szCs w:val="28"/>
        </w:rPr>
      </w:pPr>
      <w:r>
        <w:rPr>
          <w:rFonts w:asciiTheme="minorHAnsi" w:hAnsiTheme="minorHAnsi" w:cstheme="minorHAnsi"/>
          <w:b/>
          <w:sz w:val="28"/>
          <w:szCs w:val="28"/>
        </w:rPr>
        <w:t>Summary</w:t>
      </w:r>
      <w:r w:rsidR="005B1A21" w:rsidRPr="009738F0">
        <w:rPr>
          <w:rFonts w:asciiTheme="minorHAnsi" w:hAnsiTheme="minorHAnsi" w:cstheme="minorHAnsi"/>
          <w:b/>
          <w:sz w:val="28"/>
          <w:szCs w:val="28"/>
        </w:rPr>
        <w:t xml:space="preserve"> Re</w:t>
      </w:r>
      <w:r w:rsidR="00D42BFB">
        <w:rPr>
          <w:rFonts w:asciiTheme="minorHAnsi" w:hAnsiTheme="minorHAnsi" w:cstheme="minorHAnsi"/>
          <w:b/>
          <w:sz w:val="28"/>
          <w:szCs w:val="28"/>
        </w:rPr>
        <w:t xml:space="preserve">port </w:t>
      </w:r>
      <w:r w:rsidR="005B1A21" w:rsidRPr="009738F0">
        <w:rPr>
          <w:rFonts w:asciiTheme="minorHAnsi" w:hAnsiTheme="minorHAnsi" w:cstheme="minorHAnsi"/>
          <w:b/>
          <w:sz w:val="28"/>
          <w:szCs w:val="28"/>
        </w:rPr>
        <w:t>Out</w:t>
      </w:r>
    </w:p>
    <w:p w:rsidR="005B1A21" w:rsidRPr="005B1A21" w:rsidRDefault="005B1A21" w:rsidP="005B1A21">
      <w:pPr>
        <w:tabs>
          <w:tab w:val="center" w:pos="4320"/>
          <w:tab w:val="right" w:pos="8640"/>
        </w:tabs>
        <w:jc w:val="both"/>
      </w:pPr>
    </w:p>
    <w:p w:rsidR="009738F0" w:rsidRPr="00110F3A" w:rsidRDefault="009738F0" w:rsidP="005B1A21">
      <w:pPr>
        <w:tabs>
          <w:tab w:val="center" w:pos="4320"/>
          <w:tab w:val="right" w:pos="8640"/>
        </w:tabs>
        <w:jc w:val="both"/>
        <w:rPr>
          <w:rFonts w:asciiTheme="minorHAnsi" w:hAnsiTheme="minorHAnsi" w:cstheme="minorHAnsi"/>
        </w:rPr>
      </w:pPr>
    </w:p>
    <w:p w:rsidR="005B1A21" w:rsidRPr="00C51C61" w:rsidRDefault="005B1A21" w:rsidP="00BA7B8E">
      <w:pPr>
        <w:tabs>
          <w:tab w:val="center" w:pos="4320"/>
          <w:tab w:val="right" w:pos="8640"/>
        </w:tabs>
        <w:contextualSpacing/>
        <w:jc w:val="both"/>
        <w:rPr>
          <w:rFonts w:asciiTheme="minorHAnsi" w:hAnsiTheme="minorHAnsi" w:cstheme="minorHAnsi"/>
        </w:rPr>
      </w:pPr>
      <w:r w:rsidRPr="00C51C61">
        <w:rPr>
          <w:rFonts w:asciiTheme="minorHAnsi" w:hAnsiTheme="minorHAnsi" w:cstheme="minorHAnsi"/>
        </w:rPr>
        <w:t xml:space="preserve">During </w:t>
      </w:r>
      <w:r w:rsidR="00436508" w:rsidRPr="00C51C61">
        <w:rPr>
          <w:rFonts w:asciiTheme="minorHAnsi" w:hAnsiTheme="minorHAnsi" w:cstheme="minorHAnsi"/>
        </w:rPr>
        <w:t xml:space="preserve">the </w:t>
      </w:r>
      <w:r w:rsidR="00F90BFA" w:rsidRPr="00C51C61">
        <w:rPr>
          <w:rFonts w:asciiTheme="minorHAnsi" w:hAnsiTheme="minorHAnsi" w:cstheme="minorHAnsi"/>
        </w:rPr>
        <w:t xml:space="preserve">Virgin Islands Economic Development </w:t>
      </w:r>
      <w:r w:rsidR="00633027" w:rsidRPr="00C51C61">
        <w:rPr>
          <w:rFonts w:asciiTheme="minorHAnsi" w:hAnsiTheme="minorHAnsi" w:cstheme="minorHAnsi"/>
        </w:rPr>
        <w:t>Commission</w:t>
      </w:r>
      <w:r w:rsidR="00331107" w:rsidRPr="00C51C61">
        <w:rPr>
          <w:rFonts w:asciiTheme="minorHAnsi" w:hAnsiTheme="minorHAnsi" w:cstheme="minorHAnsi"/>
        </w:rPr>
        <w:t xml:space="preserve"> (“VIEDC”)</w:t>
      </w:r>
      <w:r w:rsidR="00F90BFA" w:rsidRPr="00C51C61">
        <w:rPr>
          <w:rFonts w:asciiTheme="minorHAnsi" w:hAnsiTheme="minorHAnsi" w:cstheme="minorHAnsi"/>
        </w:rPr>
        <w:t xml:space="preserve"> </w:t>
      </w:r>
      <w:r w:rsidR="006D64E5" w:rsidRPr="00C51C61">
        <w:rPr>
          <w:rFonts w:asciiTheme="minorHAnsi" w:hAnsiTheme="minorHAnsi" w:cstheme="minorHAnsi"/>
        </w:rPr>
        <w:t>D</w:t>
      </w:r>
      <w:r w:rsidR="00832AEC" w:rsidRPr="00C51C61">
        <w:rPr>
          <w:rFonts w:asciiTheme="minorHAnsi" w:hAnsiTheme="minorHAnsi" w:cstheme="minorHAnsi"/>
        </w:rPr>
        <w:t>ecision</w:t>
      </w:r>
      <w:r w:rsidR="005423F3" w:rsidRPr="00C51C61">
        <w:rPr>
          <w:rFonts w:asciiTheme="minorHAnsi" w:hAnsiTheme="minorHAnsi" w:cstheme="minorHAnsi"/>
        </w:rPr>
        <w:t xml:space="preserve"> </w:t>
      </w:r>
      <w:r w:rsidR="00832AEC" w:rsidRPr="00C51C61">
        <w:rPr>
          <w:rFonts w:asciiTheme="minorHAnsi" w:hAnsiTheme="minorHAnsi" w:cstheme="minorHAnsi"/>
        </w:rPr>
        <w:t xml:space="preserve">Meeting </w:t>
      </w:r>
      <w:r w:rsidR="005423F3" w:rsidRPr="00C51C61">
        <w:rPr>
          <w:rFonts w:asciiTheme="minorHAnsi" w:hAnsiTheme="minorHAnsi" w:cstheme="minorHAnsi"/>
        </w:rPr>
        <w:t xml:space="preserve">on </w:t>
      </w:r>
      <w:r w:rsidR="00ED2360">
        <w:rPr>
          <w:rFonts w:asciiTheme="minorHAnsi" w:hAnsiTheme="minorHAnsi" w:cstheme="minorHAnsi"/>
        </w:rPr>
        <w:t>T</w:t>
      </w:r>
      <w:r w:rsidR="00EA11BA">
        <w:rPr>
          <w:rFonts w:asciiTheme="minorHAnsi" w:hAnsiTheme="minorHAnsi" w:cstheme="minorHAnsi"/>
        </w:rPr>
        <w:t>hursday</w:t>
      </w:r>
      <w:r w:rsidR="00ED2360">
        <w:rPr>
          <w:rFonts w:asciiTheme="minorHAnsi" w:hAnsiTheme="minorHAnsi" w:cstheme="minorHAnsi"/>
        </w:rPr>
        <w:t xml:space="preserve">, </w:t>
      </w:r>
      <w:r w:rsidR="00D27F7E">
        <w:rPr>
          <w:rFonts w:asciiTheme="minorHAnsi" w:hAnsiTheme="minorHAnsi" w:cstheme="minorHAnsi"/>
        </w:rPr>
        <w:t xml:space="preserve">July </w:t>
      </w:r>
      <w:r w:rsidR="00177D12">
        <w:rPr>
          <w:rFonts w:asciiTheme="minorHAnsi" w:hAnsiTheme="minorHAnsi" w:cstheme="minorHAnsi"/>
        </w:rPr>
        <w:t>22</w:t>
      </w:r>
      <w:r w:rsidR="00BF30D3">
        <w:rPr>
          <w:rFonts w:asciiTheme="minorHAnsi" w:hAnsiTheme="minorHAnsi" w:cstheme="minorHAnsi"/>
        </w:rPr>
        <w:t>,</w:t>
      </w:r>
      <w:r w:rsidR="00401D0C" w:rsidRPr="00C51C61">
        <w:rPr>
          <w:rFonts w:asciiTheme="minorHAnsi" w:hAnsiTheme="minorHAnsi" w:cstheme="minorHAnsi"/>
        </w:rPr>
        <w:t xml:space="preserve"> 202</w:t>
      </w:r>
      <w:r w:rsidR="00BF30D3">
        <w:rPr>
          <w:rFonts w:asciiTheme="minorHAnsi" w:hAnsiTheme="minorHAnsi" w:cstheme="minorHAnsi"/>
        </w:rPr>
        <w:t>1</w:t>
      </w:r>
      <w:r w:rsidR="000E64B8" w:rsidRPr="00C51C61">
        <w:rPr>
          <w:rFonts w:asciiTheme="minorHAnsi" w:hAnsiTheme="minorHAnsi" w:cstheme="minorHAnsi"/>
        </w:rPr>
        <w:t>,</w:t>
      </w:r>
      <w:r w:rsidRPr="00C51C61">
        <w:rPr>
          <w:rFonts w:asciiTheme="minorHAnsi" w:hAnsiTheme="minorHAnsi" w:cstheme="minorHAnsi"/>
        </w:rPr>
        <w:t xml:space="preserve"> the </w:t>
      </w:r>
      <w:r w:rsidR="00EF5CD4" w:rsidRPr="00C51C61">
        <w:rPr>
          <w:rFonts w:asciiTheme="minorHAnsi" w:hAnsiTheme="minorHAnsi" w:cstheme="minorHAnsi"/>
        </w:rPr>
        <w:t xml:space="preserve">Governing </w:t>
      </w:r>
      <w:r w:rsidRPr="00C51C61">
        <w:rPr>
          <w:rFonts w:asciiTheme="minorHAnsi" w:hAnsiTheme="minorHAnsi" w:cstheme="minorHAnsi"/>
        </w:rPr>
        <w:t>Board</w:t>
      </w:r>
      <w:r w:rsidR="00EF5CD4" w:rsidRPr="00C51C61">
        <w:rPr>
          <w:rFonts w:asciiTheme="minorHAnsi" w:hAnsiTheme="minorHAnsi" w:cstheme="minorHAnsi"/>
        </w:rPr>
        <w:t xml:space="preserve"> heard </w:t>
      </w:r>
      <w:r w:rsidR="00524F33" w:rsidRPr="00C51C61">
        <w:rPr>
          <w:rFonts w:asciiTheme="minorHAnsi" w:hAnsiTheme="minorHAnsi" w:cstheme="minorHAnsi"/>
        </w:rPr>
        <w:t xml:space="preserve">recommendations </w:t>
      </w:r>
      <w:r w:rsidR="0092165F" w:rsidRPr="00C51C61">
        <w:rPr>
          <w:rFonts w:asciiTheme="minorHAnsi" w:hAnsiTheme="minorHAnsi" w:cstheme="minorHAnsi"/>
        </w:rPr>
        <w:t xml:space="preserve">from </w:t>
      </w:r>
      <w:r w:rsidR="00524F33" w:rsidRPr="00C51C61">
        <w:rPr>
          <w:rFonts w:asciiTheme="minorHAnsi" w:hAnsiTheme="minorHAnsi" w:cstheme="minorHAnsi"/>
        </w:rPr>
        <w:t xml:space="preserve">staff regarding </w:t>
      </w:r>
      <w:r w:rsidR="00AD012B">
        <w:rPr>
          <w:rFonts w:asciiTheme="minorHAnsi" w:hAnsiTheme="minorHAnsi" w:cstheme="minorHAnsi"/>
        </w:rPr>
        <w:t>five (5)</w:t>
      </w:r>
      <w:r w:rsidR="00C87680">
        <w:rPr>
          <w:rFonts w:asciiTheme="minorHAnsi" w:hAnsiTheme="minorHAnsi" w:cstheme="minorHAnsi"/>
        </w:rPr>
        <w:t xml:space="preserve"> application matter</w:t>
      </w:r>
      <w:r w:rsidR="0040082D">
        <w:rPr>
          <w:rFonts w:asciiTheme="minorHAnsi" w:hAnsiTheme="minorHAnsi" w:cstheme="minorHAnsi"/>
        </w:rPr>
        <w:t>s</w:t>
      </w:r>
      <w:r w:rsidR="00D27F7E">
        <w:rPr>
          <w:rFonts w:asciiTheme="minorHAnsi" w:hAnsiTheme="minorHAnsi" w:cstheme="minorHAnsi"/>
        </w:rPr>
        <w:t xml:space="preserve"> </w:t>
      </w:r>
      <w:r w:rsidR="00D909FB" w:rsidRPr="00C51C61">
        <w:rPr>
          <w:rFonts w:asciiTheme="minorHAnsi" w:hAnsiTheme="minorHAnsi" w:cstheme="minorHAnsi"/>
        </w:rPr>
        <w:t xml:space="preserve">and </w:t>
      </w:r>
      <w:r w:rsidR="0092165F" w:rsidRPr="00C51C61">
        <w:rPr>
          <w:rFonts w:asciiTheme="minorHAnsi" w:hAnsiTheme="minorHAnsi" w:cstheme="minorHAnsi"/>
        </w:rPr>
        <w:t xml:space="preserve">voted </w:t>
      </w:r>
      <w:r w:rsidR="00EF5CD4" w:rsidRPr="00C51C61">
        <w:rPr>
          <w:rFonts w:asciiTheme="minorHAnsi" w:hAnsiTheme="minorHAnsi" w:cstheme="minorHAnsi"/>
        </w:rPr>
        <w:t>as follows</w:t>
      </w:r>
      <w:r w:rsidR="008C7108" w:rsidRPr="00C51C61">
        <w:rPr>
          <w:rFonts w:asciiTheme="minorHAnsi" w:hAnsiTheme="minorHAnsi" w:cstheme="minorHAnsi"/>
        </w:rPr>
        <w:t>:</w:t>
      </w:r>
    </w:p>
    <w:p w:rsidR="002570EA" w:rsidRPr="00C51C61" w:rsidRDefault="002570EA" w:rsidP="00BA7B8E">
      <w:pPr>
        <w:contextualSpacing/>
        <w:jc w:val="both"/>
        <w:rPr>
          <w:rFonts w:asciiTheme="minorHAnsi" w:hAnsiTheme="minorHAnsi" w:cstheme="minorHAnsi"/>
        </w:rPr>
      </w:pPr>
    </w:p>
    <w:p w:rsidR="00D27BFF" w:rsidRDefault="00AD012B" w:rsidP="00BA7B8E">
      <w:pPr>
        <w:contextualSpacing/>
        <w:jc w:val="both"/>
        <w:rPr>
          <w:rFonts w:asciiTheme="minorHAnsi" w:hAnsiTheme="minorHAnsi" w:cstheme="minorHAnsi"/>
          <w:b/>
          <w:u w:val="single"/>
        </w:rPr>
      </w:pPr>
      <w:r>
        <w:rPr>
          <w:rFonts w:asciiTheme="minorHAnsi" w:hAnsiTheme="minorHAnsi" w:cstheme="minorHAnsi"/>
          <w:b/>
          <w:u w:val="single"/>
        </w:rPr>
        <w:t>Regular</w:t>
      </w:r>
      <w:r w:rsidR="00D27BFF" w:rsidRPr="009F1B79">
        <w:rPr>
          <w:rFonts w:asciiTheme="minorHAnsi" w:hAnsiTheme="minorHAnsi" w:cstheme="minorHAnsi"/>
          <w:b/>
          <w:u w:val="single"/>
        </w:rPr>
        <w:t xml:space="preserve"> Session:</w:t>
      </w:r>
    </w:p>
    <w:p w:rsidR="00044D7C" w:rsidRPr="005B1308" w:rsidRDefault="00044D7C" w:rsidP="00BA7B8E">
      <w:pPr>
        <w:contextualSpacing/>
        <w:jc w:val="both"/>
        <w:rPr>
          <w:rFonts w:asciiTheme="minorHAnsi" w:hAnsiTheme="minorHAnsi" w:cstheme="minorHAnsi"/>
          <w:b/>
          <w:sz w:val="16"/>
          <w:szCs w:val="16"/>
          <w:u w:val="single"/>
        </w:rPr>
      </w:pPr>
    </w:p>
    <w:p w:rsidR="00044D7C" w:rsidRPr="00044D7C" w:rsidRDefault="00044D7C" w:rsidP="00BA7B8E">
      <w:pPr>
        <w:contextualSpacing/>
        <w:jc w:val="both"/>
        <w:rPr>
          <w:rFonts w:asciiTheme="minorHAnsi" w:hAnsiTheme="minorHAnsi" w:cstheme="minorHAnsi"/>
          <w:b/>
        </w:rPr>
      </w:pPr>
      <w:r w:rsidRPr="00044D7C">
        <w:rPr>
          <w:rFonts w:asciiTheme="minorHAnsi" w:hAnsiTheme="minorHAnsi" w:cstheme="minorHAnsi"/>
          <w:b/>
        </w:rPr>
        <w:t>Action Items:</w:t>
      </w:r>
    </w:p>
    <w:p w:rsidR="005A378A" w:rsidRPr="005B1308" w:rsidRDefault="005A378A" w:rsidP="00BA7B8E">
      <w:pPr>
        <w:contextualSpacing/>
        <w:jc w:val="both"/>
        <w:rPr>
          <w:rFonts w:asciiTheme="minorHAnsi" w:hAnsiTheme="minorHAnsi" w:cstheme="minorHAnsi"/>
          <w:b/>
          <w:sz w:val="12"/>
          <w:szCs w:val="12"/>
          <w:u w:val="single"/>
        </w:rPr>
      </w:pPr>
    </w:p>
    <w:p w:rsidR="00F412B9" w:rsidRPr="00C51C61" w:rsidRDefault="00A85312" w:rsidP="00F412B9">
      <w:pPr>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Applications</w:t>
      </w:r>
      <w:r w:rsidR="00F412B9" w:rsidRPr="00C51C61">
        <w:rPr>
          <w:rFonts w:asciiTheme="minorHAnsi" w:hAnsiTheme="minorHAnsi" w:cstheme="minorHAnsi"/>
          <w:b/>
          <w:sz w:val="20"/>
          <w:szCs w:val="20"/>
          <w:u w:val="single"/>
        </w:rPr>
        <w:t>:</w:t>
      </w:r>
    </w:p>
    <w:p w:rsidR="005A378A" w:rsidRPr="00C51C61" w:rsidRDefault="005A378A" w:rsidP="00BA7B8E">
      <w:pPr>
        <w:contextualSpacing/>
        <w:jc w:val="both"/>
        <w:rPr>
          <w:rFonts w:asciiTheme="minorHAnsi" w:hAnsiTheme="minorHAnsi" w:cstheme="minorHAnsi"/>
          <w:sz w:val="8"/>
          <w:szCs w:val="8"/>
        </w:rPr>
      </w:pPr>
    </w:p>
    <w:p w:rsidR="00842441" w:rsidRPr="00BB2F1C" w:rsidRDefault="00AD012B" w:rsidP="00842441">
      <w:pPr>
        <w:pStyle w:val="ListParagraph"/>
        <w:numPr>
          <w:ilvl w:val="0"/>
          <w:numId w:val="5"/>
        </w:numPr>
        <w:suppressAutoHyphens/>
        <w:autoSpaceDN w:val="0"/>
        <w:ind w:left="426" w:hanging="426"/>
        <w:jc w:val="both"/>
        <w:textAlignment w:val="baseline"/>
        <w:rPr>
          <w:rFonts w:asciiTheme="minorHAnsi" w:eastAsia="Calibri" w:hAnsiTheme="minorHAnsi" w:cstheme="minorHAnsi"/>
          <w:b/>
        </w:rPr>
      </w:pPr>
      <w:r>
        <w:rPr>
          <w:rFonts w:asciiTheme="minorHAnsi" w:eastAsia="Calibri" w:hAnsiTheme="minorHAnsi" w:cstheme="minorHAnsi"/>
          <w:b/>
        </w:rPr>
        <w:t>By The Sea Resort Properties</w:t>
      </w:r>
      <w:r w:rsidR="00BC06E6">
        <w:rPr>
          <w:rFonts w:asciiTheme="minorHAnsi" w:eastAsia="Calibri" w:hAnsiTheme="minorHAnsi" w:cstheme="minorHAnsi"/>
          <w:b/>
        </w:rPr>
        <w:t xml:space="preserve"> </w:t>
      </w:r>
      <w:r w:rsidR="00842441">
        <w:rPr>
          <w:rFonts w:asciiTheme="minorHAnsi" w:eastAsia="Calibri" w:hAnsiTheme="minorHAnsi" w:cstheme="minorHAnsi"/>
          <w:b/>
        </w:rPr>
        <w:t xml:space="preserve"> – </w:t>
      </w:r>
      <w:r w:rsidR="00BC06E6">
        <w:rPr>
          <w:rFonts w:asciiTheme="minorHAnsi" w:eastAsia="Calibri" w:hAnsiTheme="minorHAnsi" w:cstheme="minorHAnsi"/>
          <w:b/>
        </w:rPr>
        <w:t xml:space="preserve">Extension </w:t>
      </w:r>
      <w:r>
        <w:rPr>
          <w:rFonts w:asciiTheme="minorHAnsi" w:eastAsia="Calibri" w:hAnsiTheme="minorHAnsi" w:cstheme="minorHAnsi"/>
          <w:b/>
        </w:rPr>
        <w:t>of Time to Commence Incentives</w:t>
      </w:r>
      <w:r w:rsidR="00842441" w:rsidRPr="00BB2F1C">
        <w:rPr>
          <w:rFonts w:asciiTheme="minorHAnsi" w:eastAsia="Calibri" w:hAnsiTheme="minorHAnsi" w:cstheme="minorHAnsi"/>
          <w:b/>
        </w:rPr>
        <w:t xml:space="preserve"> </w:t>
      </w:r>
    </w:p>
    <w:p w:rsidR="00842441" w:rsidRPr="00BB2F1C" w:rsidRDefault="00842441" w:rsidP="00842441">
      <w:pPr>
        <w:pStyle w:val="ListParagraph"/>
        <w:suppressAutoHyphens/>
        <w:autoSpaceDN w:val="0"/>
        <w:ind w:left="426"/>
        <w:jc w:val="both"/>
        <w:textAlignment w:val="baseline"/>
        <w:rPr>
          <w:rFonts w:asciiTheme="minorHAnsi" w:eastAsia="Calibri" w:hAnsiTheme="minorHAnsi" w:cstheme="minorHAnsi"/>
          <w:b/>
          <w:sz w:val="8"/>
          <w:szCs w:val="8"/>
        </w:rPr>
      </w:pPr>
    </w:p>
    <w:p w:rsidR="00DD1D32" w:rsidRDefault="00AD012B" w:rsidP="00DD1D32">
      <w:pPr>
        <w:autoSpaceDE w:val="0"/>
        <w:autoSpaceDN w:val="0"/>
        <w:adjustRightInd w:val="0"/>
        <w:ind w:left="360"/>
        <w:contextualSpacing/>
        <w:jc w:val="both"/>
        <w:rPr>
          <w:rFonts w:asciiTheme="minorHAnsi" w:eastAsiaTheme="minorHAnsi" w:hAnsiTheme="minorHAnsi" w:cstheme="minorHAnsi"/>
          <w:i/>
          <w:color w:val="000000"/>
          <w:sz w:val="20"/>
          <w:szCs w:val="20"/>
        </w:rPr>
      </w:pPr>
      <w:r w:rsidRPr="00AD012B">
        <w:rPr>
          <w:rFonts w:asciiTheme="minorHAnsi" w:eastAsiaTheme="minorHAnsi" w:hAnsiTheme="minorHAnsi" w:cstheme="minorHAnsi"/>
          <w:i/>
          <w:color w:val="000000"/>
          <w:sz w:val="20"/>
          <w:szCs w:val="20"/>
        </w:rPr>
        <w:t>By-the-Sea Resort Properties, LLC (“BTS”</w:t>
      </w:r>
      <w:r w:rsidR="00440743" w:rsidRPr="00440743">
        <w:rPr>
          <w:rFonts w:asciiTheme="minorHAnsi" w:eastAsiaTheme="minorHAnsi" w:hAnsiTheme="minorHAnsi" w:cstheme="minorHAnsi"/>
          <w:i/>
          <w:color w:val="000000"/>
          <w:sz w:val="20"/>
          <w:szCs w:val="20"/>
        </w:rPr>
        <w:t xml:space="preserve">) </w:t>
      </w:r>
      <w:r w:rsidR="0091661A">
        <w:rPr>
          <w:rFonts w:asciiTheme="minorHAnsi" w:eastAsiaTheme="minorHAnsi" w:hAnsiTheme="minorHAnsi" w:cstheme="minorHAnsi"/>
          <w:i/>
          <w:color w:val="000000"/>
          <w:sz w:val="20"/>
          <w:szCs w:val="20"/>
        </w:rPr>
        <w:t xml:space="preserve">was </w:t>
      </w:r>
      <w:r w:rsidR="00562969">
        <w:rPr>
          <w:rFonts w:asciiTheme="minorHAnsi" w:eastAsiaTheme="minorHAnsi" w:hAnsiTheme="minorHAnsi" w:cstheme="minorHAnsi"/>
          <w:i/>
          <w:color w:val="000000"/>
          <w:sz w:val="20"/>
          <w:szCs w:val="20"/>
        </w:rPr>
        <w:t>granted</w:t>
      </w:r>
      <w:r w:rsidR="0091661A" w:rsidRPr="0091661A">
        <w:rPr>
          <w:rFonts w:asciiTheme="minorHAnsi" w:eastAsiaTheme="minorHAnsi" w:hAnsiTheme="minorHAnsi" w:cstheme="minorHAnsi"/>
          <w:i/>
          <w:color w:val="000000"/>
          <w:sz w:val="20"/>
          <w:szCs w:val="20"/>
        </w:rPr>
        <w:t xml:space="preserve"> </w:t>
      </w:r>
      <w:r w:rsidR="0091661A">
        <w:rPr>
          <w:rFonts w:asciiTheme="minorHAnsi" w:eastAsiaTheme="minorHAnsi" w:hAnsiTheme="minorHAnsi" w:cstheme="minorHAnsi"/>
          <w:i/>
          <w:color w:val="000000"/>
          <w:sz w:val="20"/>
          <w:szCs w:val="20"/>
        </w:rPr>
        <w:t xml:space="preserve">tax incentive </w:t>
      </w:r>
      <w:r w:rsidR="0091661A" w:rsidRPr="0091661A">
        <w:rPr>
          <w:rFonts w:asciiTheme="minorHAnsi" w:eastAsiaTheme="minorHAnsi" w:hAnsiTheme="minorHAnsi" w:cstheme="minorHAnsi"/>
          <w:i/>
          <w:color w:val="000000"/>
          <w:sz w:val="20"/>
          <w:szCs w:val="20"/>
        </w:rPr>
        <w:t xml:space="preserve">benefits on May </w:t>
      </w:r>
      <w:r w:rsidR="00FC4937">
        <w:rPr>
          <w:rFonts w:asciiTheme="minorHAnsi" w:eastAsiaTheme="minorHAnsi" w:hAnsiTheme="minorHAnsi" w:cstheme="minorHAnsi"/>
          <w:i/>
          <w:color w:val="000000"/>
          <w:sz w:val="20"/>
          <w:szCs w:val="20"/>
        </w:rPr>
        <w:t>7, 2020</w:t>
      </w:r>
      <w:r w:rsidR="0091661A" w:rsidRPr="0091661A">
        <w:rPr>
          <w:rFonts w:asciiTheme="minorHAnsi" w:eastAsiaTheme="minorHAnsi" w:hAnsiTheme="minorHAnsi" w:cstheme="minorHAnsi"/>
          <w:i/>
          <w:color w:val="000000"/>
          <w:sz w:val="20"/>
          <w:szCs w:val="20"/>
        </w:rPr>
        <w:t xml:space="preserve"> </w:t>
      </w:r>
      <w:r w:rsidR="0091661A">
        <w:rPr>
          <w:rFonts w:asciiTheme="minorHAnsi" w:eastAsiaTheme="minorHAnsi" w:hAnsiTheme="minorHAnsi" w:cstheme="minorHAnsi"/>
          <w:i/>
          <w:color w:val="000000"/>
          <w:sz w:val="20"/>
          <w:szCs w:val="20"/>
        </w:rPr>
        <w:t>to operate</w:t>
      </w:r>
      <w:r w:rsidR="00440743">
        <w:rPr>
          <w:rFonts w:asciiTheme="minorHAnsi" w:eastAsiaTheme="minorHAnsi" w:hAnsiTheme="minorHAnsi" w:cstheme="minorHAnsi"/>
          <w:i/>
          <w:color w:val="000000"/>
          <w:sz w:val="20"/>
          <w:szCs w:val="20"/>
        </w:rPr>
        <w:t xml:space="preserve"> a </w:t>
      </w:r>
      <w:r w:rsidR="00FC4937">
        <w:rPr>
          <w:rFonts w:asciiTheme="minorHAnsi" w:eastAsiaTheme="minorHAnsi" w:hAnsiTheme="minorHAnsi" w:cstheme="minorHAnsi"/>
          <w:i/>
          <w:color w:val="000000"/>
          <w:sz w:val="20"/>
          <w:szCs w:val="20"/>
        </w:rPr>
        <w:t>Category III Hotel/R</w:t>
      </w:r>
      <w:r w:rsidR="00FC4937" w:rsidRPr="00FC4937">
        <w:rPr>
          <w:rFonts w:asciiTheme="minorHAnsi" w:eastAsiaTheme="minorHAnsi" w:hAnsiTheme="minorHAnsi" w:cstheme="minorHAnsi"/>
          <w:i/>
          <w:color w:val="000000"/>
          <w:sz w:val="20"/>
          <w:szCs w:val="20"/>
        </w:rPr>
        <w:t xml:space="preserve">esort for its ownership, construction and development of a high-end boutique hotel and amenities normally associated with a full service resort/hotel to be located in Botany Bay, St. Thomas, </w:t>
      </w:r>
      <w:proofErr w:type="gramStart"/>
      <w:r w:rsidR="00FC4937" w:rsidRPr="00FC4937">
        <w:rPr>
          <w:rFonts w:asciiTheme="minorHAnsi" w:eastAsiaTheme="minorHAnsi" w:hAnsiTheme="minorHAnsi" w:cstheme="minorHAnsi"/>
          <w:i/>
          <w:color w:val="000000"/>
          <w:sz w:val="20"/>
          <w:szCs w:val="20"/>
        </w:rPr>
        <w:t>USVI</w:t>
      </w:r>
      <w:proofErr w:type="gramEnd"/>
      <w:r w:rsidR="00FC4937" w:rsidRPr="00FC4937">
        <w:rPr>
          <w:rFonts w:asciiTheme="minorHAnsi" w:eastAsiaTheme="minorHAnsi" w:hAnsiTheme="minorHAnsi" w:cstheme="minorHAnsi"/>
          <w:i/>
          <w:color w:val="000000"/>
          <w:sz w:val="20"/>
          <w:szCs w:val="20"/>
        </w:rPr>
        <w:t>.</w:t>
      </w:r>
    </w:p>
    <w:p w:rsidR="00DD1D32" w:rsidRPr="00F8766D" w:rsidRDefault="00DD1D32" w:rsidP="00DD1D32">
      <w:pPr>
        <w:autoSpaceDE w:val="0"/>
        <w:autoSpaceDN w:val="0"/>
        <w:adjustRightInd w:val="0"/>
        <w:ind w:left="360"/>
        <w:contextualSpacing/>
        <w:jc w:val="both"/>
        <w:rPr>
          <w:rFonts w:asciiTheme="minorHAnsi" w:eastAsiaTheme="minorHAnsi" w:hAnsiTheme="minorHAnsi" w:cstheme="minorHAnsi"/>
          <w:i/>
          <w:color w:val="000000"/>
          <w:sz w:val="8"/>
          <w:szCs w:val="8"/>
        </w:rPr>
      </w:pPr>
    </w:p>
    <w:p w:rsidR="00D45E01" w:rsidRDefault="00FC4937" w:rsidP="00DD1D32">
      <w:pPr>
        <w:autoSpaceDE w:val="0"/>
        <w:autoSpaceDN w:val="0"/>
        <w:adjustRightInd w:val="0"/>
        <w:ind w:left="360"/>
        <w:contextualSpacing/>
        <w:jc w:val="both"/>
        <w:rPr>
          <w:rFonts w:asciiTheme="minorHAnsi" w:eastAsiaTheme="minorHAnsi" w:hAnsiTheme="minorHAnsi" w:cstheme="minorHAnsi"/>
          <w:i/>
          <w:color w:val="000000"/>
          <w:sz w:val="20"/>
          <w:szCs w:val="20"/>
        </w:rPr>
      </w:pPr>
      <w:r w:rsidRPr="00FC4937">
        <w:rPr>
          <w:rFonts w:asciiTheme="minorHAnsi" w:eastAsiaTheme="minorHAnsi" w:hAnsiTheme="minorHAnsi" w:cstheme="minorHAnsi"/>
          <w:i/>
          <w:color w:val="000000"/>
          <w:sz w:val="20"/>
          <w:szCs w:val="20"/>
        </w:rPr>
        <w:t>By letter dated April 29, 2021, BTS initially requested, “EDC approve an extension of time to May 7, 2022 for BTS to commence its benefits under the EDC Program”. Subsequently, on June 30, 2021, BTS filed an amended request for an extension of time to commence tax incentives</w:t>
      </w:r>
      <w:r w:rsidR="00DD1D32">
        <w:rPr>
          <w:rFonts w:asciiTheme="minorHAnsi" w:eastAsiaTheme="minorHAnsi" w:hAnsiTheme="minorHAnsi" w:cstheme="minorHAnsi"/>
          <w:i/>
          <w:color w:val="000000"/>
          <w:sz w:val="20"/>
          <w:szCs w:val="20"/>
        </w:rPr>
        <w:t xml:space="preserve"> to January 1, 2022</w:t>
      </w:r>
      <w:r w:rsidRPr="00FC4937">
        <w:rPr>
          <w:rFonts w:asciiTheme="minorHAnsi" w:eastAsiaTheme="minorHAnsi" w:hAnsiTheme="minorHAnsi" w:cstheme="minorHAnsi"/>
          <w:i/>
          <w:color w:val="000000"/>
          <w:sz w:val="20"/>
          <w:szCs w:val="20"/>
        </w:rPr>
        <w:t>.</w:t>
      </w:r>
    </w:p>
    <w:p w:rsidR="00CE2EC4" w:rsidRPr="00D45E01" w:rsidRDefault="00CE2EC4" w:rsidP="00842441">
      <w:pPr>
        <w:autoSpaceDE w:val="0"/>
        <w:autoSpaceDN w:val="0"/>
        <w:adjustRightInd w:val="0"/>
        <w:ind w:firstLine="360"/>
        <w:contextualSpacing/>
        <w:jc w:val="both"/>
        <w:rPr>
          <w:rFonts w:asciiTheme="minorHAnsi" w:eastAsiaTheme="minorHAnsi" w:hAnsiTheme="minorHAnsi" w:cstheme="minorHAnsi"/>
          <w:color w:val="000000"/>
          <w:sz w:val="16"/>
          <w:szCs w:val="16"/>
        </w:rPr>
      </w:pPr>
    </w:p>
    <w:p w:rsidR="00842441" w:rsidRPr="00565C36" w:rsidRDefault="00052D80" w:rsidP="00842441">
      <w:pPr>
        <w:autoSpaceDE w:val="0"/>
        <w:autoSpaceDN w:val="0"/>
        <w:adjustRightInd w:val="0"/>
        <w:ind w:firstLine="36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The Governing Board voted (4</w:t>
      </w:r>
      <w:r w:rsidR="00842441" w:rsidRPr="00565C36">
        <w:rPr>
          <w:rFonts w:asciiTheme="minorHAnsi" w:eastAsiaTheme="minorHAnsi" w:hAnsiTheme="minorHAnsi" w:cstheme="minorHAnsi"/>
          <w:color w:val="000000"/>
        </w:rPr>
        <w:t xml:space="preserve"> – 0) to:</w:t>
      </w:r>
    </w:p>
    <w:p w:rsidR="00DD1D32" w:rsidRPr="00DD1D32" w:rsidRDefault="00DD1D32" w:rsidP="00565C36">
      <w:pPr>
        <w:autoSpaceDE w:val="0"/>
        <w:autoSpaceDN w:val="0"/>
        <w:adjustRightInd w:val="0"/>
        <w:jc w:val="both"/>
        <w:rPr>
          <w:rFonts w:ascii="Calibri" w:eastAsiaTheme="minorHAnsi" w:hAnsi="Calibri" w:cs="Calibri"/>
          <w:color w:val="000000"/>
          <w:sz w:val="8"/>
          <w:szCs w:val="8"/>
        </w:rPr>
      </w:pPr>
    </w:p>
    <w:p w:rsidR="00565C36" w:rsidRDefault="00565C36" w:rsidP="00565C36">
      <w:pPr>
        <w:pStyle w:val="ListParagraph"/>
        <w:numPr>
          <w:ilvl w:val="0"/>
          <w:numId w:val="22"/>
        </w:numPr>
        <w:autoSpaceDE w:val="0"/>
        <w:autoSpaceDN w:val="0"/>
        <w:adjustRightInd w:val="0"/>
        <w:jc w:val="both"/>
        <w:rPr>
          <w:rFonts w:ascii="Calibri" w:eastAsiaTheme="minorHAnsi" w:hAnsi="Calibri" w:cs="Calibri"/>
          <w:color w:val="000000"/>
        </w:rPr>
      </w:pPr>
      <w:r>
        <w:rPr>
          <w:rFonts w:asciiTheme="minorHAnsi" w:eastAsia="Calibri" w:hAnsiTheme="minorHAnsi" w:cstheme="minorHAnsi"/>
        </w:rPr>
        <w:t xml:space="preserve">Find that </w:t>
      </w:r>
      <w:r w:rsidRPr="00565C36">
        <w:rPr>
          <w:rFonts w:asciiTheme="minorHAnsi" w:eastAsia="Calibri" w:hAnsiTheme="minorHAnsi" w:cstheme="minorHAnsi"/>
        </w:rPr>
        <w:t>By The Sea Resort Properties</w:t>
      </w:r>
      <w:r>
        <w:rPr>
          <w:rFonts w:asciiTheme="minorHAnsi" w:eastAsia="Calibri" w:hAnsiTheme="minorHAnsi" w:cstheme="minorHAnsi"/>
          <w:b/>
        </w:rPr>
        <w:t xml:space="preserve"> </w:t>
      </w:r>
      <w:r w:rsidR="00DD1D32" w:rsidRPr="00565C36">
        <w:rPr>
          <w:rFonts w:ascii="Calibri" w:eastAsiaTheme="minorHAnsi" w:hAnsi="Calibri" w:cs="Calibri"/>
          <w:color w:val="000000"/>
        </w:rPr>
        <w:t>has shown good cause for the grant of additional time to commence its tax incentive benefits due to initial delay in rece</w:t>
      </w:r>
      <w:r>
        <w:rPr>
          <w:rFonts w:ascii="Calibri" w:eastAsiaTheme="minorHAnsi" w:hAnsi="Calibri" w:cs="Calibri"/>
          <w:color w:val="000000"/>
        </w:rPr>
        <w:t>iving its building permit;</w:t>
      </w:r>
    </w:p>
    <w:p w:rsidR="00565C36" w:rsidRPr="00F8766D" w:rsidRDefault="00565C36" w:rsidP="00565C36">
      <w:pPr>
        <w:pStyle w:val="ListParagraph"/>
        <w:autoSpaceDE w:val="0"/>
        <w:autoSpaceDN w:val="0"/>
        <w:adjustRightInd w:val="0"/>
        <w:jc w:val="both"/>
        <w:rPr>
          <w:rFonts w:ascii="Calibri" w:eastAsiaTheme="minorHAnsi" w:hAnsi="Calibri" w:cs="Calibri"/>
          <w:color w:val="000000"/>
          <w:sz w:val="12"/>
          <w:szCs w:val="12"/>
        </w:rPr>
      </w:pPr>
    </w:p>
    <w:p w:rsidR="00565C36" w:rsidRDefault="00565C36" w:rsidP="00565C36">
      <w:pPr>
        <w:pStyle w:val="ListParagraph"/>
        <w:numPr>
          <w:ilvl w:val="0"/>
          <w:numId w:val="22"/>
        </w:numPr>
        <w:autoSpaceDE w:val="0"/>
        <w:autoSpaceDN w:val="0"/>
        <w:adjustRightInd w:val="0"/>
        <w:jc w:val="both"/>
        <w:rPr>
          <w:rFonts w:ascii="Calibri" w:eastAsiaTheme="minorHAnsi" w:hAnsi="Calibri" w:cs="Calibri"/>
          <w:color w:val="000000"/>
        </w:rPr>
      </w:pPr>
      <w:r>
        <w:rPr>
          <w:rFonts w:asciiTheme="minorHAnsi" w:eastAsia="Calibri" w:hAnsiTheme="minorHAnsi" w:cstheme="minorHAnsi"/>
        </w:rPr>
        <w:t>G</w:t>
      </w:r>
      <w:r w:rsidR="00DD1D32" w:rsidRPr="00565C36">
        <w:rPr>
          <w:rFonts w:ascii="Calibri" w:eastAsiaTheme="minorHAnsi" w:hAnsi="Calibri" w:cs="Calibri"/>
          <w:color w:val="000000"/>
        </w:rPr>
        <w:t xml:space="preserve">rant </w:t>
      </w:r>
      <w:r w:rsidRPr="00565C36">
        <w:rPr>
          <w:rFonts w:asciiTheme="minorHAnsi" w:eastAsia="Calibri" w:hAnsiTheme="minorHAnsi" w:cstheme="minorHAnsi"/>
        </w:rPr>
        <w:t>By The Sea Resort Properties</w:t>
      </w:r>
      <w:r w:rsidR="00DD1D32" w:rsidRPr="00565C36">
        <w:rPr>
          <w:rFonts w:ascii="Calibri" w:eastAsiaTheme="minorHAnsi" w:hAnsi="Calibri" w:cs="Calibri"/>
          <w:color w:val="000000"/>
        </w:rPr>
        <w:t xml:space="preserve"> an extension of time to commence its tax</w:t>
      </w:r>
      <w:r>
        <w:rPr>
          <w:rFonts w:ascii="Calibri" w:eastAsiaTheme="minorHAnsi" w:hAnsi="Calibri" w:cs="Calibri"/>
          <w:color w:val="000000"/>
        </w:rPr>
        <w:t xml:space="preserve"> incentives to January 1, 2022;</w:t>
      </w:r>
    </w:p>
    <w:p w:rsidR="00565C36" w:rsidRPr="00F8766D" w:rsidRDefault="00565C36" w:rsidP="00565C36">
      <w:pPr>
        <w:pStyle w:val="ListParagraph"/>
        <w:jc w:val="both"/>
        <w:rPr>
          <w:rFonts w:asciiTheme="minorHAnsi" w:eastAsia="Calibri" w:hAnsiTheme="minorHAnsi" w:cstheme="minorHAnsi"/>
          <w:sz w:val="12"/>
          <w:szCs w:val="12"/>
        </w:rPr>
      </w:pPr>
    </w:p>
    <w:p w:rsidR="00565C36" w:rsidRDefault="00565C36" w:rsidP="00DD1D32">
      <w:pPr>
        <w:pStyle w:val="ListParagraph"/>
        <w:numPr>
          <w:ilvl w:val="0"/>
          <w:numId w:val="22"/>
        </w:numPr>
        <w:autoSpaceDE w:val="0"/>
        <w:autoSpaceDN w:val="0"/>
        <w:adjustRightInd w:val="0"/>
        <w:jc w:val="both"/>
        <w:rPr>
          <w:rFonts w:ascii="Calibri" w:eastAsiaTheme="minorHAnsi" w:hAnsi="Calibri" w:cs="Calibri"/>
          <w:color w:val="000000"/>
        </w:rPr>
      </w:pPr>
      <w:r>
        <w:rPr>
          <w:rFonts w:asciiTheme="minorHAnsi" w:eastAsia="Calibri" w:hAnsiTheme="minorHAnsi" w:cstheme="minorHAnsi"/>
        </w:rPr>
        <w:t xml:space="preserve">Require </w:t>
      </w:r>
      <w:r w:rsidRPr="00565C36">
        <w:rPr>
          <w:rFonts w:asciiTheme="minorHAnsi" w:eastAsia="Calibri" w:hAnsiTheme="minorHAnsi" w:cstheme="minorHAnsi"/>
        </w:rPr>
        <w:t>By The Sea Resort Properties</w:t>
      </w:r>
      <w:r>
        <w:rPr>
          <w:rFonts w:ascii="Calibri" w:eastAsiaTheme="minorHAnsi" w:hAnsi="Calibri" w:cs="Calibri"/>
          <w:color w:val="000000"/>
        </w:rPr>
        <w:t>’</w:t>
      </w:r>
      <w:r w:rsidR="00DD1D32" w:rsidRPr="00565C36">
        <w:rPr>
          <w:rFonts w:ascii="Calibri" w:eastAsiaTheme="minorHAnsi" w:hAnsi="Calibri" w:cs="Calibri"/>
          <w:color w:val="000000"/>
        </w:rPr>
        <w:t xml:space="preserve"> tax incentives </w:t>
      </w:r>
      <w:r>
        <w:rPr>
          <w:rFonts w:ascii="Calibri" w:eastAsiaTheme="minorHAnsi" w:hAnsi="Calibri" w:cs="Calibri"/>
          <w:color w:val="000000"/>
        </w:rPr>
        <w:t>to</w:t>
      </w:r>
      <w:r w:rsidR="00DD1D32" w:rsidRPr="00565C36">
        <w:rPr>
          <w:rFonts w:ascii="Calibri" w:eastAsiaTheme="minorHAnsi" w:hAnsi="Calibri" w:cs="Calibri"/>
          <w:color w:val="000000"/>
        </w:rPr>
        <w:t xml:space="preserve"> be null and void should said incentives not commence on or before January 1, 2022; </w:t>
      </w:r>
    </w:p>
    <w:p w:rsidR="00565C36" w:rsidRPr="00F8766D" w:rsidRDefault="00565C36" w:rsidP="00565C36">
      <w:pPr>
        <w:pStyle w:val="ListParagraph"/>
        <w:rPr>
          <w:rFonts w:ascii="Calibri" w:eastAsiaTheme="minorHAnsi" w:hAnsi="Calibri" w:cs="Calibri"/>
          <w:color w:val="000000"/>
          <w:sz w:val="12"/>
          <w:szCs w:val="12"/>
        </w:rPr>
      </w:pPr>
    </w:p>
    <w:p w:rsidR="00DD1D32" w:rsidRPr="00565C36" w:rsidRDefault="00565C36" w:rsidP="00DD1D32">
      <w:pPr>
        <w:pStyle w:val="ListParagraph"/>
        <w:numPr>
          <w:ilvl w:val="0"/>
          <w:numId w:val="22"/>
        </w:numPr>
        <w:autoSpaceDE w:val="0"/>
        <w:autoSpaceDN w:val="0"/>
        <w:adjustRightInd w:val="0"/>
        <w:jc w:val="both"/>
        <w:rPr>
          <w:rFonts w:ascii="Calibri" w:eastAsiaTheme="minorHAnsi" w:hAnsi="Calibri" w:cs="Calibri"/>
          <w:color w:val="000000"/>
        </w:rPr>
      </w:pPr>
      <w:r>
        <w:rPr>
          <w:rFonts w:ascii="Calibri" w:eastAsiaTheme="minorHAnsi" w:hAnsi="Calibri" w:cs="Calibri"/>
          <w:color w:val="000000"/>
        </w:rPr>
        <w:t xml:space="preserve">Require </w:t>
      </w:r>
      <w:r w:rsidR="00DD1D32" w:rsidRPr="00565C36">
        <w:rPr>
          <w:rFonts w:ascii="Calibri" w:eastAsiaTheme="minorHAnsi" w:hAnsi="Calibri" w:cs="Calibri"/>
          <w:color w:val="000000"/>
        </w:rPr>
        <w:t xml:space="preserve">all other terms and provisions of the amended grant of incentives delineated in the VIEDC approval letter of September 28, 2020 </w:t>
      </w:r>
      <w:r>
        <w:rPr>
          <w:rFonts w:ascii="Calibri" w:eastAsiaTheme="minorHAnsi" w:hAnsi="Calibri" w:cs="Calibri"/>
          <w:color w:val="000000"/>
        </w:rPr>
        <w:t>to</w:t>
      </w:r>
      <w:r w:rsidR="00DD1D32" w:rsidRPr="00565C36">
        <w:rPr>
          <w:rFonts w:ascii="Calibri" w:eastAsiaTheme="minorHAnsi" w:hAnsi="Calibri" w:cs="Calibri"/>
          <w:color w:val="000000"/>
        </w:rPr>
        <w:t xml:space="preserve"> remain in full force and effect. </w:t>
      </w:r>
    </w:p>
    <w:p w:rsidR="008A1B3A" w:rsidRPr="00F8766D" w:rsidRDefault="008A1B3A" w:rsidP="008A1B3A">
      <w:pPr>
        <w:jc w:val="both"/>
        <w:rPr>
          <w:rFonts w:asciiTheme="minorHAnsi" w:hAnsiTheme="minorHAnsi" w:cstheme="minorHAnsi"/>
          <w:sz w:val="16"/>
          <w:szCs w:val="16"/>
        </w:rPr>
      </w:pPr>
    </w:p>
    <w:p w:rsidR="00842441" w:rsidRDefault="00842441" w:rsidP="00842441">
      <w:pPr>
        <w:suppressAutoHyphens/>
        <w:autoSpaceDN w:val="0"/>
        <w:jc w:val="both"/>
        <w:textAlignment w:val="baseline"/>
        <w:rPr>
          <w:rFonts w:asciiTheme="minorHAnsi" w:eastAsia="Calibri" w:hAnsiTheme="minorHAnsi" w:cstheme="minorHAnsi"/>
          <w:b/>
        </w:rPr>
      </w:pPr>
      <w:r>
        <w:rPr>
          <w:rFonts w:asciiTheme="minorHAnsi" w:eastAsia="Calibri" w:hAnsiTheme="minorHAnsi" w:cstheme="minorHAnsi"/>
          <w:b/>
        </w:rPr>
        <w:t>2</w:t>
      </w:r>
      <w:r w:rsidRPr="00476084">
        <w:rPr>
          <w:rFonts w:asciiTheme="minorHAnsi" w:eastAsia="Calibri" w:hAnsiTheme="minorHAnsi" w:cstheme="minorHAnsi"/>
          <w:b/>
        </w:rPr>
        <w:t xml:space="preserve">.    </w:t>
      </w:r>
      <w:proofErr w:type="spellStart"/>
      <w:r w:rsidR="00C32045" w:rsidRPr="00476084">
        <w:rPr>
          <w:rFonts w:asciiTheme="minorHAnsi" w:eastAsia="Calibri" w:hAnsiTheme="minorHAnsi" w:cstheme="minorHAnsi"/>
          <w:b/>
          <w:bCs/>
        </w:rPr>
        <w:t>Prosperitas</w:t>
      </w:r>
      <w:proofErr w:type="spellEnd"/>
      <w:r w:rsidR="00C32045" w:rsidRPr="00476084">
        <w:rPr>
          <w:rFonts w:asciiTheme="minorHAnsi" w:eastAsia="Calibri" w:hAnsiTheme="minorHAnsi" w:cstheme="minorHAnsi"/>
          <w:b/>
          <w:bCs/>
        </w:rPr>
        <w:t xml:space="preserve"> Investment Management, LLLP</w:t>
      </w:r>
      <w:r w:rsidR="006F1C4B">
        <w:rPr>
          <w:rFonts w:asciiTheme="minorHAnsi" w:eastAsia="Calibri" w:hAnsiTheme="minorHAnsi" w:cstheme="minorHAnsi"/>
          <w:b/>
        </w:rPr>
        <w:t xml:space="preserve"> – </w:t>
      </w:r>
      <w:r w:rsidR="00C32045">
        <w:rPr>
          <w:rFonts w:asciiTheme="minorHAnsi" w:eastAsia="Calibri" w:hAnsiTheme="minorHAnsi" w:cstheme="minorHAnsi"/>
          <w:b/>
        </w:rPr>
        <w:t>Admission of Di</w:t>
      </w:r>
      <w:r w:rsidR="008E797B">
        <w:rPr>
          <w:rFonts w:asciiTheme="minorHAnsi" w:eastAsia="Calibri" w:hAnsiTheme="minorHAnsi" w:cstheme="minorHAnsi"/>
          <w:b/>
        </w:rPr>
        <w:t>sregarded Entity</w:t>
      </w:r>
    </w:p>
    <w:p w:rsidR="00842441" w:rsidRPr="00ED2412" w:rsidRDefault="00842441" w:rsidP="00842441">
      <w:pPr>
        <w:suppressAutoHyphens/>
        <w:autoSpaceDN w:val="0"/>
        <w:jc w:val="both"/>
        <w:textAlignment w:val="baseline"/>
        <w:rPr>
          <w:rFonts w:asciiTheme="minorHAnsi" w:eastAsia="Calibri" w:hAnsiTheme="minorHAnsi" w:cstheme="minorHAnsi"/>
          <w:b/>
          <w:sz w:val="8"/>
          <w:szCs w:val="8"/>
        </w:rPr>
      </w:pPr>
    </w:p>
    <w:p w:rsidR="006F1C4B" w:rsidRDefault="00A94632" w:rsidP="00313FC8">
      <w:pPr>
        <w:autoSpaceDE w:val="0"/>
        <w:autoSpaceDN w:val="0"/>
        <w:adjustRightInd w:val="0"/>
        <w:ind w:left="360"/>
        <w:contextualSpacing/>
        <w:jc w:val="both"/>
        <w:rPr>
          <w:rFonts w:asciiTheme="minorHAnsi" w:eastAsiaTheme="minorHAnsi" w:hAnsiTheme="minorHAnsi" w:cstheme="minorHAnsi"/>
          <w:bCs/>
          <w:i/>
          <w:color w:val="000000"/>
          <w:sz w:val="20"/>
          <w:szCs w:val="20"/>
        </w:rPr>
      </w:pPr>
      <w:proofErr w:type="spellStart"/>
      <w:r w:rsidRPr="00A94632">
        <w:rPr>
          <w:rFonts w:asciiTheme="minorHAnsi" w:eastAsiaTheme="minorHAnsi" w:hAnsiTheme="minorHAnsi" w:cstheme="minorHAnsi"/>
          <w:bCs/>
          <w:i/>
          <w:color w:val="000000"/>
          <w:sz w:val="20"/>
          <w:szCs w:val="20"/>
        </w:rPr>
        <w:t>Prosperitas</w:t>
      </w:r>
      <w:proofErr w:type="spellEnd"/>
      <w:r w:rsidRPr="00A94632">
        <w:rPr>
          <w:rFonts w:asciiTheme="minorHAnsi" w:eastAsiaTheme="minorHAnsi" w:hAnsiTheme="minorHAnsi" w:cstheme="minorHAnsi"/>
          <w:bCs/>
          <w:i/>
          <w:color w:val="000000"/>
          <w:sz w:val="20"/>
          <w:szCs w:val="20"/>
        </w:rPr>
        <w:t xml:space="preserve"> Investment Management, LLLP f/n/a CDM Investment Management, LLLP (“</w:t>
      </w:r>
      <w:proofErr w:type="spellStart"/>
      <w:r w:rsidR="005D4A82">
        <w:rPr>
          <w:rFonts w:asciiTheme="minorHAnsi" w:eastAsiaTheme="minorHAnsi" w:hAnsiTheme="minorHAnsi" w:cstheme="minorHAnsi"/>
          <w:bCs/>
          <w:i/>
          <w:color w:val="000000"/>
          <w:sz w:val="20"/>
          <w:szCs w:val="20"/>
        </w:rPr>
        <w:t>Properitas</w:t>
      </w:r>
      <w:proofErr w:type="spellEnd"/>
      <w:r w:rsidR="005D4A82">
        <w:rPr>
          <w:rFonts w:asciiTheme="minorHAnsi" w:eastAsiaTheme="minorHAnsi" w:hAnsiTheme="minorHAnsi" w:cstheme="minorHAnsi"/>
          <w:bCs/>
          <w:i/>
          <w:color w:val="000000"/>
          <w:sz w:val="20"/>
          <w:szCs w:val="20"/>
        </w:rPr>
        <w:t>"</w:t>
      </w:r>
      <w:r w:rsidRPr="00A94632">
        <w:rPr>
          <w:rFonts w:asciiTheme="minorHAnsi" w:eastAsiaTheme="minorHAnsi" w:hAnsiTheme="minorHAnsi" w:cstheme="minorHAnsi"/>
          <w:bCs/>
          <w:i/>
          <w:color w:val="000000"/>
          <w:sz w:val="20"/>
          <w:szCs w:val="20"/>
        </w:rPr>
        <w:t xml:space="preserve">) </w:t>
      </w:r>
      <w:r w:rsidR="005D4A82">
        <w:rPr>
          <w:rFonts w:asciiTheme="minorHAnsi" w:eastAsiaTheme="minorHAnsi" w:hAnsiTheme="minorHAnsi" w:cstheme="minorHAnsi"/>
          <w:i/>
          <w:color w:val="000000"/>
          <w:sz w:val="20"/>
          <w:szCs w:val="20"/>
        </w:rPr>
        <w:t>was granted</w:t>
      </w:r>
      <w:r w:rsidR="005D4A82" w:rsidRPr="0091661A">
        <w:rPr>
          <w:rFonts w:asciiTheme="minorHAnsi" w:eastAsiaTheme="minorHAnsi" w:hAnsiTheme="minorHAnsi" w:cstheme="minorHAnsi"/>
          <w:i/>
          <w:color w:val="000000"/>
          <w:sz w:val="20"/>
          <w:szCs w:val="20"/>
        </w:rPr>
        <w:t xml:space="preserve"> </w:t>
      </w:r>
      <w:r w:rsidR="005D4A82">
        <w:rPr>
          <w:rFonts w:asciiTheme="minorHAnsi" w:eastAsiaTheme="minorHAnsi" w:hAnsiTheme="minorHAnsi" w:cstheme="minorHAnsi"/>
          <w:i/>
          <w:color w:val="000000"/>
          <w:sz w:val="20"/>
          <w:szCs w:val="20"/>
        </w:rPr>
        <w:t xml:space="preserve">tax incentive </w:t>
      </w:r>
      <w:r w:rsidR="005D4A82" w:rsidRPr="0091661A">
        <w:rPr>
          <w:rFonts w:asciiTheme="minorHAnsi" w:eastAsiaTheme="minorHAnsi" w:hAnsiTheme="minorHAnsi" w:cstheme="minorHAnsi"/>
          <w:i/>
          <w:color w:val="000000"/>
          <w:sz w:val="20"/>
          <w:szCs w:val="20"/>
        </w:rPr>
        <w:t xml:space="preserve">benefits on </w:t>
      </w:r>
      <w:r w:rsidR="005D4A82">
        <w:rPr>
          <w:rFonts w:asciiTheme="minorHAnsi" w:eastAsiaTheme="minorHAnsi" w:hAnsiTheme="minorHAnsi" w:cstheme="minorHAnsi"/>
          <w:i/>
          <w:color w:val="000000"/>
          <w:sz w:val="20"/>
          <w:szCs w:val="20"/>
        </w:rPr>
        <w:t xml:space="preserve">March 30, 2016 as </w:t>
      </w:r>
      <w:r w:rsidR="005D4A82">
        <w:rPr>
          <w:rFonts w:asciiTheme="minorHAnsi" w:eastAsiaTheme="minorHAnsi" w:hAnsiTheme="minorHAnsi" w:cstheme="minorHAnsi"/>
          <w:bCs/>
          <w:i/>
          <w:color w:val="000000"/>
          <w:sz w:val="20"/>
          <w:szCs w:val="20"/>
        </w:rPr>
        <w:t>a Category IV Designated Services B</w:t>
      </w:r>
      <w:r w:rsidRPr="00A94632">
        <w:rPr>
          <w:rFonts w:asciiTheme="minorHAnsi" w:eastAsiaTheme="minorHAnsi" w:hAnsiTheme="minorHAnsi" w:cstheme="minorHAnsi"/>
          <w:bCs/>
          <w:i/>
          <w:color w:val="000000"/>
          <w:sz w:val="20"/>
          <w:szCs w:val="20"/>
        </w:rPr>
        <w:t xml:space="preserve">usiness providing investment management and consulting services, wealth management, private merchant banking services and family office services. All of </w:t>
      </w:r>
      <w:proofErr w:type="spellStart"/>
      <w:r w:rsidRPr="00A94632">
        <w:rPr>
          <w:rFonts w:asciiTheme="minorHAnsi" w:eastAsiaTheme="minorHAnsi" w:hAnsiTheme="minorHAnsi" w:cstheme="minorHAnsi"/>
          <w:bCs/>
          <w:i/>
          <w:color w:val="000000"/>
          <w:sz w:val="20"/>
          <w:szCs w:val="20"/>
        </w:rPr>
        <w:t>Prosperitas</w:t>
      </w:r>
      <w:proofErr w:type="spellEnd"/>
      <w:r w:rsidRPr="00A94632">
        <w:rPr>
          <w:rFonts w:asciiTheme="minorHAnsi" w:eastAsiaTheme="minorHAnsi" w:hAnsiTheme="minorHAnsi" w:cstheme="minorHAnsi"/>
          <w:bCs/>
          <w:i/>
          <w:color w:val="000000"/>
          <w:sz w:val="20"/>
          <w:szCs w:val="20"/>
        </w:rPr>
        <w:t xml:space="preserve">’ clients </w:t>
      </w:r>
      <w:r w:rsidR="005D4A82">
        <w:rPr>
          <w:rFonts w:asciiTheme="minorHAnsi" w:eastAsiaTheme="minorHAnsi" w:hAnsiTheme="minorHAnsi" w:cstheme="minorHAnsi"/>
          <w:bCs/>
          <w:i/>
          <w:color w:val="000000"/>
          <w:sz w:val="20"/>
          <w:szCs w:val="20"/>
        </w:rPr>
        <w:t>are</w:t>
      </w:r>
      <w:r w:rsidRPr="00A94632">
        <w:rPr>
          <w:rFonts w:asciiTheme="minorHAnsi" w:eastAsiaTheme="minorHAnsi" w:hAnsiTheme="minorHAnsi" w:cstheme="minorHAnsi"/>
          <w:bCs/>
          <w:i/>
          <w:color w:val="000000"/>
          <w:sz w:val="20"/>
          <w:szCs w:val="20"/>
        </w:rPr>
        <w:t xml:space="preserve"> located outside the U.S. Virgin Islands.</w:t>
      </w:r>
    </w:p>
    <w:p w:rsidR="005D4A82" w:rsidRPr="00F8766D" w:rsidRDefault="005D4A82" w:rsidP="00313FC8">
      <w:pPr>
        <w:autoSpaceDE w:val="0"/>
        <w:autoSpaceDN w:val="0"/>
        <w:adjustRightInd w:val="0"/>
        <w:ind w:left="360"/>
        <w:contextualSpacing/>
        <w:jc w:val="both"/>
        <w:rPr>
          <w:rFonts w:asciiTheme="minorHAnsi" w:eastAsiaTheme="minorHAnsi" w:hAnsiTheme="minorHAnsi" w:cstheme="minorHAnsi"/>
          <w:i/>
          <w:color w:val="000000"/>
          <w:sz w:val="8"/>
          <w:szCs w:val="8"/>
        </w:rPr>
      </w:pPr>
    </w:p>
    <w:p w:rsidR="008F22B6" w:rsidRDefault="005D4A82" w:rsidP="005D4A82">
      <w:pPr>
        <w:autoSpaceDE w:val="0"/>
        <w:autoSpaceDN w:val="0"/>
        <w:adjustRightInd w:val="0"/>
        <w:ind w:left="360"/>
        <w:contextualSpacing/>
        <w:jc w:val="both"/>
        <w:rPr>
          <w:rFonts w:asciiTheme="minorHAnsi" w:eastAsiaTheme="minorHAnsi" w:hAnsiTheme="minorHAnsi" w:cstheme="minorHAnsi"/>
          <w:i/>
          <w:color w:val="000000"/>
          <w:sz w:val="20"/>
          <w:szCs w:val="20"/>
        </w:rPr>
      </w:pPr>
      <w:r w:rsidRPr="005D4A82">
        <w:rPr>
          <w:rFonts w:asciiTheme="minorHAnsi" w:eastAsiaTheme="minorHAnsi" w:hAnsiTheme="minorHAnsi" w:cstheme="minorHAnsi"/>
          <w:i/>
          <w:color w:val="000000"/>
          <w:sz w:val="20"/>
          <w:szCs w:val="20"/>
        </w:rPr>
        <w:t xml:space="preserve">On December 2, 2020, </w:t>
      </w:r>
      <w:proofErr w:type="spellStart"/>
      <w:r w:rsidRPr="005D4A82">
        <w:rPr>
          <w:rFonts w:asciiTheme="minorHAnsi" w:eastAsiaTheme="minorHAnsi" w:hAnsiTheme="minorHAnsi" w:cstheme="minorHAnsi"/>
          <w:i/>
          <w:color w:val="000000"/>
          <w:sz w:val="20"/>
          <w:szCs w:val="20"/>
        </w:rPr>
        <w:t>Prosperitas</w:t>
      </w:r>
      <w:proofErr w:type="spellEnd"/>
      <w:r w:rsidRPr="005D4A82">
        <w:rPr>
          <w:rFonts w:asciiTheme="minorHAnsi" w:eastAsiaTheme="minorHAnsi" w:hAnsiTheme="minorHAnsi" w:cstheme="minorHAnsi"/>
          <w:i/>
          <w:color w:val="000000"/>
          <w:sz w:val="20"/>
          <w:szCs w:val="20"/>
        </w:rPr>
        <w:t xml:space="preserve"> notified VIEDC of the addition of a wholly-owned disregarded subsidiary entity that will be providing services in line with the approved business activities under </w:t>
      </w:r>
      <w:proofErr w:type="spellStart"/>
      <w:r w:rsidRPr="005D4A82">
        <w:rPr>
          <w:rFonts w:asciiTheme="minorHAnsi" w:eastAsiaTheme="minorHAnsi" w:hAnsiTheme="minorHAnsi" w:cstheme="minorHAnsi"/>
          <w:i/>
          <w:color w:val="000000"/>
          <w:sz w:val="20"/>
          <w:szCs w:val="20"/>
        </w:rPr>
        <w:t>Prosperitas</w:t>
      </w:r>
      <w:proofErr w:type="spellEnd"/>
      <w:r w:rsidRPr="005D4A82">
        <w:rPr>
          <w:rFonts w:asciiTheme="minorHAnsi" w:eastAsiaTheme="minorHAnsi" w:hAnsiTheme="minorHAnsi" w:cstheme="minorHAnsi"/>
          <w:i/>
          <w:color w:val="000000"/>
          <w:sz w:val="20"/>
          <w:szCs w:val="20"/>
        </w:rPr>
        <w:t>’ VIEDC Certificate</w:t>
      </w:r>
      <w:proofErr w:type="gramStart"/>
      <w:r w:rsidRPr="005D4A82">
        <w:rPr>
          <w:rFonts w:asciiTheme="minorHAnsi" w:eastAsiaTheme="minorHAnsi" w:hAnsiTheme="minorHAnsi" w:cstheme="minorHAnsi"/>
          <w:i/>
          <w:color w:val="000000"/>
          <w:sz w:val="20"/>
          <w:szCs w:val="20"/>
        </w:rPr>
        <w:t>..</w:t>
      </w:r>
      <w:proofErr w:type="gramEnd"/>
      <w:r w:rsidRPr="005D4A82">
        <w:rPr>
          <w:rFonts w:asciiTheme="minorHAnsi" w:eastAsiaTheme="minorHAnsi" w:hAnsiTheme="minorHAnsi" w:cstheme="minorHAnsi"/>
          <w:i/>
          <w:color w:val="000000"/>
          <w:sz w:val="20"/>
          <w:szCs w:val="20"/>
        </w:rPr>
        <w:t xml:space="preserve"> </w:t>
      </w:r>
      <w:proofErr w:type="spellStart"/>
      <w:r w:rsidRPr="005D4A82">
        <w:rPr>
          <w:rFonts w:asciiTheme="minorHAnsi" w:eastAsiaTheme="minorHAnsi" w:hAnsiTheme="minorHAnsi" w:cstheme="minorHAnsi"/>
          <w:i/>
          <w:color w:val="000000"/>
          <w:sz w:val="20"/>
          <w:szCs w:val="20"/>
        </w:rPr>
        <w:t>Prosperitas</w:t>
      </w:r>
      <w:proofErr w:type="spellEnd"/>
      <w:r w:rsidRPr="005D4A82">
        <w:rPr>
          <w:rFonts w:asciiTheme="minorHAnsi" w:eastAsiaTheme="minorHAnsi" w:hAnsiTheme="minorHAnsi" w:cstheme="minorHAnsi"/>
          <w:i/>
          <w:color w:val="000000"/>
          <w:sz w:val="20"/>
          <w:szCs w:val="20"/>
        </w:rPr>
        <w:t xml:space="preserve"> intends to carry out one or more of its approved business activities through Great</w:t>
      </w:r>
      <w:r>
        <w:rPr>
          <w:rFonts w:asciiTheme="minorHAnsi" w:eastAsiaTheme="minorHAnsi" w:hAnsiTheme="minorHAnsi" w:cstheme="minorHAnsi"/>
          <w:i/>
          <w:color w:val="000000"/>
          <w:sz w:val="20"/>
          <w:szCs w:val="20"/>
        </w:rPr>
        <w:t xml:space="preserve"> Caribbean Treasure, LLC</w:t>
      </w:r>
      <w:r w:rsidRPr="005D4A82">
        <w:rPr>
          <w:rFonts w:asciiTheme="minorHAnsi" w:eastAsiaTheme="minorHAnsi" w:hAnsiTheme="minorHAnsi" w:cstheme="minorHAnsi"/>
          <w:i/>
          <w:color w:val="000000"/>
          <w:sz w:val="20"/>
          <w:szCs w:val="20"/>
        </w:rPr>
        <w:t xml:space="preserve">, </w:t>
      </w:r>
      <w:proofErr w:type="gramStart"/>
      <w:r w:rsidRPr="005D4A82">
        <w:rPr>
          <w:rFonts w:asciiTheme="minorHAnsi" w:eastAsiaTheme="minorHAnsi" w:hAnsiTheme="minorHAnsi" w:cstheme="minorHAnsi"/>
          <w:i/>
          <w:color w:val="000000"/>
          <w:sz w:val="20"/>
          <w:szCs w:val="20"/>
        </w:rPr>
        <w:t>a</w:t>
      </w:r>
      <w:proofErr w:type="gramEnd"/>
      <w:r w:rsidRPr="005D4A82">
        <w:rPr>
          <w:rFonts w:asciiTheme="minorHAnsi" w:eastAsiaTheme="minorHAnsi" w:hAnsiTheme="minorHAnsi" w:cstheme="minorHAnsi"/>
          <w:i/>
          <w:color w:val="000000"/>
          <w:sz w:val="20"/>
          <w:szCs w:val="20"/>
        </w:rPr>
        <w:t xml:space="preserve"> single-member disregarded entity that is wholly owned by </w:t>
      </w:r>
      <w:proofErr w:type="spellStart"/>
      <w:r w:rsidRPr="005D4A82">
        <w:rPr>
          <w:rFonts w:asciiTheme="minorHAnsi" w:eastAsiaTheme="minorHAnsi" w:hAnsiTheme="minorHAnsi" w:cstheme="minorHAnsi"/>
          <w:i/>
          <w:color w:val="000000"/>
          <w:sz w:val="20"/>
          <w:szCs w:val="20"/>
        </w:rPr>
        <w:t>Prosperitas</w:t>
      </w:r>
      <w:proofErr w:type="spellEnd"/>
      <w:r w:rsidRPr="005D4A82">
        <w:rPr>
          <w:rFonts w:asciiTheme="minorHAnsi" w:eastAsiaTheme="minorHAnsi" w:hAnsiTheme="minorHAnsi" w:cstheme="minorHAnsi"/>
          <w:i/>
          <w:color w:val="000000"/>
          <w:sz w:val="20"/>
          <w:szCs w:val="20"/>
        </w:rPr>
        <w:t>, effective on January 1, 2020.</w:t>
      </w:r>
    </w:p>
    <w:p w:rsidR="005D4A82" w:rsidRPr="008F22B6" w:rsidRDefault="005D4A82" w:rsidP="005D4A82">
      <w:pPr>
        <w:autoSpaceDE w:val="0"/>
        <w:autoSpaceDN w:val="0"/>
        <w:adjustRightInd w:val="0"/>
        <w:ind w:left="360"/>
        <w:contextualSpacing/>
        <w:jc w:val="both"/>
        <w:rPr>
          <w:rFonts w:asciiTheme="minorHAnsi" w:eastAsiaTheme="minorHAnsi" w:hAnsiTheme="minorHAnsi" w:cstheme="minorHAnsi"/>
          <w:color w:val="000000"/>
          <w:sz w:val="16"/>
          <w:szCs w:val="16"/>
        </w:rPr>
      </w:pPr>
    </w:p>
    <w:p w:rsidR="00842441" w:rsidRPr="007D0415" w:rsidRDefault="002D477D" w:rsidP="00842441">
      <w:pPr>
        <w:autoSpaceDE w:val="0"/>
        <w:autoSpaceDN w:val="0"/>
        <w:adjustRightInd w:val="0"/>
        <w:ind w:firstLine="36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lastRenderedPageBreak/>
        <w:t xml:space="preserve">The Governing </w:t>
      </w:r>
      <w:r w:rsidR="00052D80">
        <w:rPr>
          <w:rFonts w:asciiTheme="minorHAnsi" w:eastAsiaTheme="minorHAnsi" w:hAnsiTheme="minorHAnsi" w:cstheme="minorHAnsi"/>
          <w:color w:val="000000"/>
        </w:rPr>
        <w:t>Board voted (4</w:t>
      </w:r>
      <w:r w:rsidR="00842441" w:rsidRPr="007D0415">
        <w:rPr>
          <w:rFonts w:asciiTheme="minorHAnsi" w:eastAsiaTheme="minorHAnsi" w:hAnsiTheme="minorHAnsi" w:cstheme="minorHAnsi"/>
          <w:color w:val="000000"/>
        </w:rPr>
        <w:t xml:space="preserve"> </w:t>
      </w:r>
      <w:r w:rsidR="00842441">
        <w:rPr>
          <w:rFonts w:asciiTheme="minorHAnsi" w:eastAsiaTheme="minorHAnsi" w:hAnsiTheme="minorHAnsi" w:cstheme="minorHAnsi"/>
          <w:color w:val="000000"/>
        </w:rPr>
        <w:t>– 0</w:t>
      </w:r>
      <w:r w:rsidR="00842441" w:rsidRPr="007D0415">
        <w:rPr>
          <w:rFonts w:asciiTheme="minorHAnsi" w:eastAsiaTheme="minorHAnsi" w:hAnsiTheme="minorHAnsi" w:cstheme="minorHAnsi"/>
          <w:color w:val="000000"/>
        </w:rPr>
        <w:t>) to:</w:t>
      </w:r>
    </w:p>
    <w:p w:rsidR="00842441" w:rsidRPr="00F8766D" w:rsidRDefault="00842441" w:rsidP="00842441">
      <w:pPr>
        <w:autoSpaceDE w:val="0"/>
        <w:autoSpaceDN w:val="0"/>
        <w:adjustRightInd w:val="0"/>
        <w:jc w:val="both"/>
        <w:rPr>
          <w:rFonts w:asciiTheme="minorHAnsi" w:eastAsiaTheme="minorHAnsi" w:hAnsiTheme="minorHAnsi" w:cstheme="minorHAnsi"/>
          <w:b/>
          <w:bCs/>
          <w:color w:val="000000"/>
          <w:sz w:val="8"/>
          <w:szCs w:val="8"/>
        </w:rPr>
      </w:pPr>
    </w:p>
    <w:p w:rsidR="00C32045" w:rsidRDefault="00C32045" w:rsidP="00C32045">
      <w:pPr>
        <w:pStyle w:val="ListParagraph"/>
        <w:numPr>
          <w:ilvl w:val="3"/>
          <w:numId w:val="6"/>
        </w:numPr>
        <w:jc w:val="both"/>
        <w:rPr>
          <w:rFonts w:asciiTheme="minorHAnsi" w:eastAsiaTheme="minorHAnsi" w:hAnsiTheme="minorHAnsi" w:cstheme="minorHAnsi"/>
          <w:color w:val="000000"/>
        </w:rPr>
      </w:pPr>
      <w:r>
        <w:rPr>
          <w:rFonts w:asciiTheme="minorHAnsi" w:eastAsiaTheme="minorHAnsi" w:hAnsiTheme="minorHAnsi" w:cstheme="minorHAnsi"/>
          <w:color w:val="000000"/>
        </w:rPr>
        <w:t>A</w:t>
      </w:r>
      <w:r w:rsidRPr="00C32045">
        <w:rPr>
          <w:rFonts w:asciiTheme="minorHAnsi" w:eastAsiaTheme="minorHAnsi" w:hAnsiTheme="minorHAnsi" w:cstheme="minorHAnsi"/>
          <w:color w:val="000000"/>
        </w:rPr>
        <w:t xml:space="preserve">cknowledge and approve the establishment of </w:t>
      </w:r>
      <w:r w:rsidRPr="00C32045">
        <w:rPr>
          <w:rFonts w:asciiTheme="minorHAnsi" w:eastAsiaTheme="minorHAnsi" w:hAnsiTheme="minorHAnsi" w:cstheme="minorHAnsi"/>
          <w:b/>
          <w:bCs/>
          <w:color w:val="000000"/>
        </w:rPr>
        <w:t xml:space="preserve">Great Caribbean Treasure, LLC </w:t>
      </w:r>
      <w:r w:rsidRPr="00C32045">
        <w:rPr>
          <w:rFonts w:asciiTheme="minorHAnsi" w:eastAsiaTheme="minorHAnsi" w:hAnsiTheme="minorHAnsi" w:cstheme="minorHAnsi"/>
          <w:color w:val="000000"/>
        </w:rPr>
        <w:t xml:space="preserve">as a wholly-owned disregarded entity of </w:t>
      </w:r>
      <w:proofErr w:type="spellStart"/>
      <w:r w:rsidRPr="00C32045">
        <w:rPr>
          <w:rFonts w:asciiTheme="minorHAnsi" w:eastAsiaTheme="minorHAnsi" w:hAnsiTheme="minorHAnsi" w:cstheme="minorHAnsi"/>
          <w:color w:val="000000"/>
        </w:rPr>
        <w:t>Prosperitas</w:t>
      </w:r>
      <w:proofErr w:type="spellEnd"/>
      <w:r w:rsidRPr="00C32045">
        <w:rPr>
          <w:rFonts w:asciiTheme="minorHAnsi" w:eastAsiaTheme="minorHAnsi" w:hAnsiTheme="minorHAnsi" w:cstheme="minorHAnsi"/>
          <w:color w:val="000000"/>
        </w:rPr>
        <w:t xml:space="preserve"> Investment Management, LLLP </w:t>
      </w:r>
      <w:r>
        <w:rPr>
          <w:rFonts w:asciiTheme="minorHAnsi" w:eastAsiaTheme="minorHAnsi" w:hAnsiTheme="minorHAnsi" w:cstheme="minorHAnsi"/>
          <w:color w:val="000000"/>
        </w:rPr>
        <w:t>pursuant to 29 V.I.C. § 714(c).</w:t>
      </w:r>
    </w:p>
    <w:p w:rsidR="00C32045" w:rsidRPr="00F8766D" w:rsidRDefault="00C32045" w:rsidP="00C32045">
      <w:pPr>
        <w:pStyle w:val="ListParagraph"/>
        <w:ind w:left="1080"/>
        <w:jc w:val="both"/>
        <w:rPr>
          <w:rFonts w:asciiTheme="minorHAnsi" w:eastAsiaTheme="minorHAnsi" w:hAnsiTheme="minorHAnsi" w:cstheme="minorHAnsi"/>
          <w:color w:val="000000"/>
          <w:sz w:val="12"/>
          <w:szCs w:val="12"/>
        </w:rPr>
      </w:pPr>
    </w:p>
    <w:p w:rsidR="00C32045" w:rsidRDefault="00C32045" w:rsidP="00C32045">
      <w:pPr>
        <w:pStyle w:val="ListParagraph"/>
        <w:numPr>
          <w:ilvl w:val="3"/>
          <w:numId w:val="6"/>
        </w:numPr>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Require </w:t>
      </w:r>
      <w:r w:rsidRPr="00C32045">
        <w:rPr>
          <w:rFonts w:asciiTheme="minorHAnsi" w:eastAsiaTheme="minorHAnsi" w:hAnsiTheme="minorHAnsi" w:cstheme="minorHAnsi"/>
          <w:color w:val="000000"/>
        </w:rPr>
        <w:t xml:space="preserve">the admission of the disregarded entity indicated above </w:t>
      </w:r>
      <w:r>
        <w:rPr>
          <w:rFonts w:asciiTheme="minorHAnsi" w:eastAsiaTheme="minorHAnsi" w:hAnsiTheme="minorHAnsi" w:cstheme="minorHAnsi"/>
          <w:color w:val="000000"/>
        </w:rPr>
        <w:t>to be effective January 1, 2020.</w:t>
      </w:r>
    </w:p>
    <w:p w:rsidR="00C32045" w:rsidRPr="00F8766D" w:rsidRDefault="00C32045" w:rsidP="00C32045">
      <w:pPr>
        <w:pStyle w:val="ListParagraph"/>
        <w:rPr>
          <w:rFonts w:asciiTheme="minorHAnsi" w:eastAsiaTheme="minorHAnsi" w:hAnsiTheme="minorHAnsi" w:cstheme="minorHAnsi"/>
          <w:color w:val="000000"/>
          <w:sz w:val="12"/>
          <w:szCs w:val="12"/>
        </w:rPr>
      </w:pPr>
    </w:p>
    <w:p w:rsidR="00C32045" w:rsidRPr="00F8766D" w:rsidRDefault="00C32045" w:rsidP="00F8766D">
      <w:pPr>
        <w:pStyle w:val="ListParagraph"/>
        <w:numPr>
          <w:ilvl w:val="3"/>
          <w:numId w:val="6"/>
        </w:numPr>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Require </w:t>
      </w:r>
      <w:r w:rsidRPr="00C32045">
        <w:rPr>
          <w:rFonts w:asciiTheme="minorHAnsi" w:eastAsiaTheme="minorHAnsi" w:hAnsiTheme="minorHAnsi" w:cstheme="minorHAnsi"/>
          <w:color w:val="000000"/>
        </w:rPr>
        <w:t xml:space="preserve">all other terms and provisions of the grant of tax incentives delineated in the VIEDC Certificate dated February 10, 2017 </w:t>
      </w:r>
      <w:r>
        <w:rPr>
          <w:rFonts w:asciiTheme="minorHAnsi" w:eastAsiaTheme="minorHAnsi" w:hAnsiTheme="minorHAnsi" w:cstheme="minorHAnsi"/>
          <w:color w:val="000000"/>
        </w:rPr>
        <w:t>to</w:t>
      </w:r>
      <w:r w:rsidRPr="00C32045">
        <w:rPr>
          <w:rFonts w:asciiTheme="minorHAnsi" w:eastAsiaTheme="minorHAnsi" w:hAnsiTheme="minorHAnsi" w:cstheme="minorHAnsi"/>
          <w:color w:val="000000"/>
        </w:rPr>
        <w:t xml:space="preserve"> remain in full force and effect. </w:t>
      </w:r>
    </w:p>
    <w:p w:rsidR="00476084" w:rsidRPr="00476084" w:rsidRDefault="00476084" w:rsidP="00476084">
      <w:pPr>
        <w:contextualSpacing/>
        <w:jc w:val="both"/>
        <w:rPr>
          <w:rFonts w:asciiTheme="minorHAnsi" w:hAnsiTheme="minorHAnsi" w:cstheme="minorHAnsi"/>
          <w:sz w:val="16"/>
          <w:szCs w:val="16"/>
        </w:rPr>
      </w:pPr>
    </w:p>
    <w:p w:rsidR="00476084" w:rsidRPr="00476084" w:rsidRDefault="007027EB" w:rsidP="007027EB">
      <w:pPr>
        <w:tabs>
          <w:tab w:val="left" w:pos="450"/>
        </w:tabs>
        <w:suppressAutoHyphens/>
        <w:autoSpaceDN w:val="0"/>
        <w:contextualSpacing/>
        <w:jc w:val="both"/>
        <w:textAlignment w:val="baseline"/>
        <w:rPr>
          <w:rFonts w:asciiTheme="minorHAnsi" w:eastAsia="Calibri" w:hAnsiTheme="minorHAnsi" w:cstheme="minorHAnsi"/>
          <w:b/>
        </w:rPr>
      </w:pPr>
      <w:r>
        <w:rPr>
          <w:rFonts w:asciiTheme="minorHAnsi" w:eastAsia="Calibri" w:hAnsiTheme="minorHAnsi" w:cstheme="minorHAnsi"/>
          <w:b/>
        </w:rPr>
        <w:t xml:space="preserve">3.   </w:t>
      </w:r>
      <w:r w:rsidR="00052D80">
        <w:rPr>
          <w:rFonts w:asciiTheme="minorHAnsi" w:eastAsia="Calibri" w:hAnsiTheme="minorHAnsi" w:cstheme="minorHAnsi"/>
          <w:b/>
        </w:rPr>
        <w:t>Royalton USVI, LLC</w:t>
      </w:r>
      <w:r w:rsidR="00476084" w:rsidRPr="00476084">
        <w:rPr>
          <w:rFonts w:asciiTheme="minorHAnsi" w:eastAsia="Calibri" w:hAnsiTheme="minorHAnsi" w:cstheme="minorHAnsi"/>
          <w:b/>
        </w:rPr>
        <w:t xml:space="preserve"> – </w:t>
      </w:r>
      <w:r w:rsidR="00052D80">
        <w:rPr>
          <w:rFonts w:asciiTheme="minorHAnsi" w:eastAsia="Calibri" w:hAnsiTheme="minorHAnsi" w:cstheme="minorHAnsi"/>
          <w:b/>
        </w:rPr>
        <w:t>New Application</w:t>
      </w:r>
      <w:r w:rsidR="00476084" w:rsidRPr="00476084">
        <w:rPr>
          <w:rFonts w:asciiTheme="minorHAnsi" w:eastAsia="Calibri" w:hAnsiTheme="minorHAnsi" w:cstheme="minorHAnsi"/>
          <w:b/>
        </w:rPr>
        <w:t xml:space="preserve"> </w:t>
      </w:r>
    </w:p>
    <w:p w:rsidR="00476084" w:rsidRPr="00476084" w:rsidRDefault="00476084" w:rsidP="00476084">
      <w:pPr>
        <w:suppressAutoHyphens/>
        <w:autoSpaceDN w:val="0"/>
        <w:ind w:left="426"/>
        <w:contextualSpacing/>
        <w:jc w:val="both"/>
        <w:textAlignment w:val="baseline"/>
        <w:rPr>
          <w:rFonts w:asciiTheme="minorHAnsi" w:eastAsia="Calibri" w:hAnsiTheme="minorHAnsi" w:cstheme="minorHAnsi"/>
          <w:b/>
          <w:sz w:val="8"/>
          <w:szCs w:val="8"/>
        </w:rPr>
      </w:pPr>
    </w:p>
    <w:p w:rsidR="00AC2305" w:rsidRDefault="00740210" w:rsidP="006A54C6">
      <w:pPr>
        <w:autoSpaceDE w:val="0"/>
        <w:autoSpaceDN w:val="0"/>
        <w:adjustRightInd w:val="0"/>
        <w:ind w:left="360"/>
        <w:contextualSpacing/>
        <w:jc w:val="both"/>
        <w:rPr>
          <w:rFonts w:asciiTheme="minorHAnsi" w:eastAsiaTheme="minorHAnsi" w:hAnsiTheme="minorHAnsi" w:cstheme="minorHAnsi"/>
          <w:i/>
          <w:color w:val="000000"/>
          <w:sz w:val="20"/>
          <w:szCs w:val="20"/>
        </w:rPr>
      </w:pPr>
      <w:r w:rsidRPr="00740210">
        <w:rPr>
          <w:rFonts w:asciiTheme="minorHAnsi" w:eastAsiaTheme="minorHAnsi" w:hAnsiTheme="minorHAnsi" w:cstheme="minorHAnsi"/>
          <w:i/>
          <w:color w:val="000000"/>
          <w:sz w:val="20"/>
          <w:szCs w:val="20"/>
        </w:rPr>
        <w:t>On May 10, 2021</w:t>
      </w:r>
      <w:r>
        <w:rPr>
          <w:rFonts w:asciiTheme="minorHAnsi" w:eastAsiaTheme="minorHAnsi" w:hAnsiTheme="minorHAnsi" w:cstheme="minorHAnsi"/>
          <w:i/>
          <w:color w:val="000000"/>
          <w:sz w:val="20"/>
          <w:szCs w:val="20"/>
        </w:rPr>
        <w:t xml:space="preserve">, </w:t>
      </w:r>
      <w:r w:rsidRPr="00740210">
        <w:rPr>
          <w:rFonts w:asciiTheme="minorHAnsi" w:eastAsiaTheme="minorHAnsi" w:hAnsiTheme="minorHAnsi" w:cstheme="minorHAnsi"/>
          <w:i/>
          <w:color w:val="000000"/>
          <w:sz w:val="20"/>
          <w:szCs w:val="20"/>
        </w:rPr>
        <w:t xml:space="preserve">Royalton USVI, LLC (“Royalton”) </w:t>
      </w:r>
      <w:r w:rsidRPr="00740210">
        <w:rPr>
          <w:rFonts w:asciiTheme="minorHAnsi" w:eastAsiaTheme="minorHAnsi" w:hAnsiTheme="minorHAnsi" w:cstheme="minorHAnsi"/>
          <w:i/>
          <w:color w:val="000000"/>
          <w:sz w:val="20"/>
          <w:szCs w:val="20"/>
        </w:rPr>
        <w:t xml:space="preserve">filed an application with the Virgin Islands Economic Development Commission (“VIEDC”) for tax incentive benefits.  </w:t>
      </w:r>
      <w:r>
        <w:rPr>
          <w:rFonts w:asciiTheme="minorHAnsi" w:eastAsiaTheme="minorHAnsi" w:hAnsiTheme="minorHAnsi" w:cstheme="minorHAnsi"/>
          <w:i/>
          <w:color w:val="000000"/>
          <w:sz w:val="20"/>
          <w:szCs w:val="20"/>
        </w:rPr>
        <w:t xml:space="preserve">Royalton </w:t>
      </w:r>
      <w:r w:rsidRPr="00740210">
        <w:rPr>
          <w:rFonts w:asciiTheme="minorHAnsi" w:eastAsiaTheme="minorHAnsi" w:hAnsiTheme="minorHAnsi" w:cstheme="minorHAnsi"/>
          <w:i/>
          <w:color w:val="000000"/>
          <w:sz w:val="20"/>
          <w:szCs w:val="20"/>
        </w:rPr>
        <w:t xml:space="preserve">seeks VIEDC tax incentive benefits as a Category IV - Designated Services Business providing financial services, venture capital and investment management services, property management, and business management and consulting services to clients located outside the U.S. Virgin Islands. </w:t>
      </w:r>
    </w:p>
    <w:p w:rsidR="00AC2305" w:rsidRPr="00F8766D" w:rsidRDefault="00AC2305" w:rsidP="006A54C6">
      <w:pPr>
        <w:autoSpaceDE w:val="0"/>
        <w:autoSpaceDN w:val="0"/>
        <w:adjustRightInd w:val="0"/>
        <w:ind w:left="360"/>
        <w:contextualSpacing/>
        <w:jc w:val="both"/>
        <w:rPr>
          <w:rFonts w:asciiTheme="minorHAnsi" w:eastAsiaTheme="minorHAnsi" w:hAnsiTheme="minorHAnsi" w:cstheme="minorHAnsi"/>
          <w:i/>
          <w:color w:val="000000"/>
          <w:sz w:val="8"/>
          <w:szCs w:val="8"/>
        </w:rPr>
      </w:pPr>
    </w:p>
    <w:p w:rsidR="00476084" w:rsidRDefault="00740210" w:rsidP="006A54C6">
      <w:pPr>
        <w:autoSpaceDE w:val="0"/>
        <w:autoSpaceDN w:val="0"/>
        <w:adjustRightInd w:val="0"/>
        <w:ind w:left="360"/>
        <w:contextualSpacing/>
        <w:jc w:val="both"/>
        <w:rPr>
          <w:rFonts w:asciiTheme="minorHAnsi" w:eastAsiaTheme="minorHAnsi" w:hAnsiTheme="minorHAnsi" w:cstheme="minorHAnsi"/>
          <w:i/>
          <w:color w:val="000000"/>
          <w:sz w:val="20"/>
          <w:szCs w:val="20"/>
        </w:rPr>
      </w:pPr>
      <w:r w:rsidRPr="00740210">
        <w:rPr>
          <w:rFonts w:asciiTheme="minorHAnsi" w:eastAsiaTheme="minorHAnsi" w:hAnsiTheme="minorHAnsi" w:cstheme="minorHAnsi"/>
          <w:i/>
          <w:color w:val="000000"/>
          <w:sz w:val="20"/>
          <w:szCs w:val="20"/>
        </w:rPr>
        <w:t>Royalton commits to employ a minimum of five (5) full-time employees.</w:t>
      </w:r>
      <w:r w:rsidR="006A54C6">
        <w:rPr>
          <w:rFonts w:asciiTheme="minorHAnsi" w:eastAsiaTheme="minorHAnsi" w:hAnsiTheme="minorHAnsi" w:cstheme="minorHAnsi"/>
          <w:i/>
          <w:color w:val="000000"/>
          <w:sz w:val="20"/>
          <w:szCs w:val="20"/>
        </w:rPr>
        <w:t xml:space="preserve"> </w:t>
      </w:r>
      <w:r w:rsidRPr="00740210">
        <w:rPr>
          <w:rFonts w:asciiTheme="minorHAnsi" w:eastAsiaTheme="minorHAnsi" w:hAnsiTheme="minorHAnsi" w:cstheme="minorHAnsi"/>
          <w:i/>
          <w:color w:val="000000"/>
          <w:sz w:val="20"/>
          <w:szCs w:val="20"/>
        </w:rPr>
        <w:t>Royalton will invest a minimum o</w:t>
      </w:r>
      <w:r w:rsidR="00FF7A90">
        <w:rPr>
          <w:rFonts w:asciiTheme="minorHAnsi" w:eastAsiaTheme="minorHAnsi" w:hAnsiTheme="minorHAnsi" w:cstheme="minorHAnsi"/>
          <w:i/>
          <w:color w:val="000000"/>
          <w:sz w:val="20"/>
          <w:szCs w:val="20"/>
        </w:rPr>
        <w:t xml:space="preserve">f </w:t>
      </w:r>
      <w:r w:rsidRPr="00740210">
        <w:rPr>
          <w:rFonts w:asciiTheme="minorHAnsi" w:eastAsiaTheme="minorHAnsi" w:hAnsiTheme="minorHAnsi" w:cstheme="minorHAnsi"/>
          <w:i/>
          <w:color w:val="000000"/>
          <w:sz w:val="20"/>
          <w:szCs w:val="20"/>
        </w:rPr>
        <w:t>$100,000.00</w:t>
      </w:r>
      <w:r w:rsidR="00FF7A90" w:rsidRPr="00FF7A90">
        <w:rPr>
          <w:rFonts w:asciiTheme="minorHAnsi" w:eastAsiaTheme="minorHAnsi" w:hAnsiTheme="minorHAnsi" w:cstheme="minorHAnsi"/>
          <w:bCs/>
          <w:i/>
          <w:color w:val="000000"/>
          <w:sz w:val="20"/>
          <w:szCs w:val="20"/>
        </w:rPr>
        <w:t xml:space="preserve"> </w:t>
      </w:r>
      <w:r w:rsidR="00FF7A90" w:rsidRPr="009A3FB0">
        <w:rPr>
          <w:rFonts w:asciiTheme="minorHAnsi" w:eastAsiaTheme="minorHAnsi" w:hAnsiTheme="minorHAnsi" w:cstheme="minorHAnsi"/>
          <w:bCs/>
          <w:i/>
          <w:color w:val="000000"/>
          <w:sz w:val="20"/>
          <w:szCs w:val="20"/>
        </w:rPr>
        <w:t>in the benefitted business</w:t>
      </w:r>
      <w:r w:rsidRPr="00740210">
        <w:rPr>
          <w:rFonts w:asciiTheme="minorHAnsi" w:eastAsiaTheme="minorHAnsi" w:hAnsiTheme="minorHAnsi" w:cstheme="minorHAnsi"/>
          <w:i/>
          <w:color w:val="000000"/>
          <w:sz w:val="20"/>
          <w:szCs w:val="20"/>
        </w:rPr>
        <w:t>. Royalton will be located on the island of St. Thomas.</w:t>
      </w:r>
    </w:p>
    <w:p w:rsidR="00740210" w:rsidRPr="00476084" w:rsidRDefault="00740210" w:rsidP="00740210">
      <w:pPr>
        <w:autoSpaceDE w:val="0"/>
        <w:autoSpaceDN w:val="0"/>
        <w:adjustRightInd w:val="0"/>
        <w:ind w:left="360"/>
        <w:contextualSpacing/>
        <w:jc w:val="both"/>
        <w:rPr>
          <w:rFonts w:asciiTheme="minorHAnsi" w:eastAsiaTheme="minorHAnsi" w:hAnsiTheme="minorHAnsi" w:cstheme="minorHAnsi"/>
          <w:color w:val="000000"/>
          <w:sz w:val="16"/>
          <w:szCs w:val="16"/>
        </w:rPr>
      </w:pPr>
    </w:p>
    <w:p w:rsidR="00476084" w:rsidRPr="00476084" w:rsidRDefault="00C4655A" w:rsidP="00476084">
      <w:pPr>
        <w:autoSpaceDE w:val="0"/>
        <w:autoSpaceDN w:val="0"/>
        <w:adjustRightInd w:val="0"/>
        <w:ind w:firstLine="36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The Governing Board voted (4</w:t>
      </w:r>
      <w:r w:rsidR="00476084" w:rsidRPr="00476084">
        <w:rPr>
          <w:rFonts w:asciiTheme="minorHAnsi" w:eastAsiaTheme="minorHAnsi" w:hAnsiTheme="minorHAnsi" w:cstheme="minorHAnsi"/>
          <w:color w:val="000000"/>
        </w:rPr>
        <w:t xml:space="preserve"> – 0) to:</w:t>
      </w:r>
    </w:p>
    <w:p w:rsidR="00476084" w:rsidRPr="00476084" w:rsidRDefault="00476084" w:rsidP="00476084">
      <w:pPr>
        <w:autoSpaceDE w:val="0"/>
        <w:autoSpaceDN w:val="0"/>
        <w:adjustRightInd w:val="0"/>
        <w:jc w:val="both"/>
        <w:rPr>
          <w:rFonts w:ascii="Calibri" w:eastAsiaTheme="minorHAnsi" w:hAnsi="Calibri" w:cs="Calibri"/>
          <w:color w:val="000000"/>
          <w:sz w:val="8"/>
          <w:szCs w:val="8"/>
        </w:rPr>
      </w:pPr>
    </w:p>
    <w:p w:rsidR="00B12034" w:rsidRDefault="00B12034" w:rsidP="00B12034">
      <w:pPr>
        <w:pStyle w:val="ListParagraph"/>
        <w:numPr>
          <w:ilvl w:val="0"/>
          <w:numId w:val="24"/>
        </w:numPr>
        <w:jc w:val="both"/>
        <w:rPr>
          <w:rFonts w:asciiTheme="minorHAnsi" w:eastAsia="Calibri" w:hAnsiTheme="minorHAnsi" w:cstheme="minorHAnsi"/>
        </w:rPr>
      </w:pPr>
      <w:r w:rsidRPr="00B12034">
        <w:rPr>
          <w:rFonts w:asciiTheme="minorHAnsi" w:eastAsia="Calibri" w:hAnsiTheme="minorHAnsi" w:cstheme="minorHAnsi"/>
        </w:rPr>
        <w:t>Find that</w:t>
      </w:r>
      <w:r w:rsidRPr="00B12034">
        <w:rPr>
          <w:rFonts w:asciiTheme="minorHAnsi" w:eastAsia="Calibri" w:hAnsiTheme="minorHAnsi" w:cstheme="minorHAnsi"/>
        </w:rPr>
        <w:t xml:space="preserve"> Royalton USVI, LLC is deserving of a </w:t>
      </w:r>
      <w:r w:rsidRPr="00B12034">
        <w:rPr>
          <w:rFonts w:asciiTheme="minorHAnsi" w:eastAsia="Calibri" w:hAnsiTheme="minorHAnsi" w:cstheme="minorHAnsi"/>
        </w:rPr>
        <w:t>grant of tax incentive benefits.</w:t>
      </w:r>
    </w:p>
    <w:p w:rsidR="00B12034" w:rsidRPr="0043575A" w:rsidRDefault="00B12034" w:rsidP="00B12034">
      <w:pPr>
        <w:pStyle w:val="ListParagraph"/>
        <w:jc w:val="both"/>
        <w:rPr>
          <w:rFonts w:asciiTheme="minorHAnsi" w:eastAsia="Calibri" w:hAnsiTheme="minorHAnsi" w:cstheme="minorHAnsi"/>
          <w:sz w:val="12"/>
          <w:szCs w:val="12"/>
        </w:rPr>
      </w:pPr>
    </w:p>
    <w:p w:rsidR="00B12034" w:rsidRDefault="00B12034" w:rsidP="00B12034">
      <w:pPr>
        <w:pStyle w:val="ListParagraph"/>
        <w:numPr>
          <w:ilvl w:val="0"/>
          <w:numId w:val="24"/>
        </w:numPr>
        <w:jc w:val="both"/>
        <w:rPr>
          <w:rFonts w:asciiTheme="minorHAnsi" w:eastAsia="Calibri" w:hAnsiTheme="minorHAnsi" w:cstheme="minorHAnsi"/>
        </w:rPr>
      </w:pPr>
      <w:r>
        <w:rPr>
          <w:rFonts w:asciiTheme="minorHAnsi" w:eastAsia="Calibri" w:hAnsiTheme="minorHAnsi" w:cstheme="minorHAnsi"/>
        </w:rPr>
        <w:t xml:space="preserve">Grant </w:t>
      </w:r>
      <w:r w:rsidRPr="00B12034">
        <w:rPr>
          <w:rFonts w:asciiTheme="minorHAnsi" w:eastAsia="Calibri" w:hAnsiTheme="minorHAnsi" w:cstheme="minorHAnsi"/>
        </w:rPr>
        <w:t>Royalton USVI, LLC tax exemptions at one hundred percent (100%) of the incentives authorized by law for a period of 20 years in accordance with the provisions of V.I. CODE ANN., tit 29, chapter 12.</w:t>
      </w:r>
    </w:p>
    <w:p w:rsidR="00B12034" w:rsidRPr="0043575A" w:rsidRDefault="00B12034" w:rsidP="00B12034">
      <w:pPr>
        <w:jc w:val="both"/>
        <w:rPr>
          <w:rFonts w:asciiTheme="minorHAnsi" w:eastAsia="Calibri" w:hAnsiTheme="minorHAnsi" w:cstheme="minorHAnsi"/>
          <w:sz w:val="12"/>
          <w:szCs w:val="12"/>
        </w:rPr>
      </w:pPr>
    </w:p>
    <w:p w:rsidR="00B12034" w:rsidRDefault="00B12034" w:rsidP="00B12034">
      <w:pPr>
        <w:pStyle w:val="ListParagraph"/>
        <w:numPr>
          <w:ilvl w:val="0"/>
          <w:numId w:val="24"/>
        </w:numPr>
        <w:jc w:val="both"/>
        <w:rPr>
          <w:rFonts w:asciiTheme="minorHAnsi" w:eastAsia="Calibri" w:hAnsiTheme="minorHAnsi" w:cstheme="minorHAnsi"/>
        </w:rPr>
      </w:pPr>
      <w:r>
        <w:rPr>
          <w:rFonts w:asciiTheme="minorHAnsi" w:eastAsia="Calibri" w:hAnsiTheme="minorHAnsi" w:cstheme="minorHAnsi"/>
        </w:rPr>
        <w:t xml:space="preserve">Grant </w:t>
      </w:r>
      <w:r w:rsidRPr="00B12034">
        <w:rPr>
          <w:rFonts w:asciiTheme="minorHAnsi" w:eastAsia="Calibri" w:hAnsiTheme="minorHAnsi" w:cstheme="minorHAnsi"/>
        </w:rPr>
        <w:t>Royalton USVI, LLC an extension of time to satisfy the minimum full-time employment requirement as follows:</w:t>
      </w:r>
    </w:p>
    <w:p w:rsidR="00B12034" w:rsidRPr="0043575A" w:rsidRDefault="00B12034" w:rsidP="00B12034">
      <w:pPr>
        <w:pStyle w:val="ListParagraph"/>
        <w:jc w:val="both"/>
        <w:rPr>
          <w:rFonts w:asciiTheme="minorHAnsi" w:eastAsia="Calibri" w:hAnsiTheme="minorHAnsi" w:cstheme="minorHAnsi"/>
          <w:sz w:val="8"/>
          <w:szCs w:val="8"/>
        </w:rPr>
      </w:pPr>
    </w:p>
    <w:p w:rsidR="00476084" w:rsidRDefault="00B12034" w:rsidP="00FA4C74">
      <w:pPr>
        <w:ind w:left="2160"/>
        <w:jc w:val="both"/>
        <w:rPr>
          <w:rFonts w:asciiTheme="minorHAnsi" w:eastAsia="Calibri" w:hAnsiTheme="minorHAnsi" w:cstheme="minorHAnsi"/>
        </w:rPr>
      </w:pPr>
      <w:r w:rsidRPr="00B12034">
        <w:rPr>
          <w:rFonts w:asciiTheme="minorHAnsi" w:eastAsia="Calibri" w:hAnsiTheme="minorHAnsi" w:cstheme="minorHAnsi"/>
        </w:rPr>
        <w:t xml:space="preserve">Applicant/Beneficiary shall employ a minimum of three (3) full-time employees within the first year. Applicant/Beneficiary shall employ an additional two (2) employees within two (2) years from the date its Certificate is signed by the VIEDC Chairman, or two (2) years from commencement of benefits, whichever is later, for a total of five </w:t>
      </w:r>
      <w:r w:rsidR="00FA4C74">
        <w:rPr>
          <w:rFonts w:asciiTheme="minorHAnsi" w:eastAsia="Calibri" w:hAnsiTheme="minorHAnsi" w:cstheme="minorHAnsi"/>
        </w:rPr>
        <w:t xml:space="preserve">(5) </w:t>
      </w:r>
      <w:r w:rsidRPr="00B12034">
        <w:rPr>
          <w:rFonts w:asciiTheme="minorHAnsi" w:eastAsia="Calibri" w:hAnsiTheme="minorHAnsi" w:cstheme="minorHAnsi"/>
        </w:rPr>
        <w:t>employees after two</w:t>
      </w:r>
      <w:r w:rsidR="00FA4C74">
        <w:rPr>
          <w:rFonts w:asciiTheme="minorHAnsi" w:eastAsia="Calibri" w:hAnsiTheme="minorHAnsi" w:cstheme="minorHAnsi"/>
        </w:rPr>
        <w:t xml:space="preserve"> (2)</w:t>
      </w:r>
      <w:r w:rsidRPr="00B12034">
        <w:rPr>
          <w:rFonts w:asciiTheme="minorHAnsi" w:eastAsia="Calibri" w:hAnsiTheme="minorHAnsi" w:cstheme="minorHAnsi"/>
        </w:rPr>
        <w:t xml:space="preserve"> years.</w:t>
      </w:r>
    </w:p>
    <w:p w:rsidR="008E797B" w:rsidRPr="00476084" w:rsidRDefault="008E797B" w:rsidP="008E797B">
      <w:pPr>
        <w:jc w:val="both"/>
        <w:rPr>
          <w:rFonts w:asciiTheme="minorHAnsi" w:hAnsiTheme="minorHAnsi" w:cstheme="minorHAnsi"/>
          <w:sz w:val="16"/>
          <w:szCs w:val="16"/>
        </w:rPr>
      </w:pPr>
    </w:p>
    <w:p w:rsidR="00476084" w:rsidRPr="00476084" w:rsidRDefault="00B12034" w:rsidP="00476084">
      <w:pPr>
        <w:suppressAutoHyphens/>
        <w:autoSpaceDN w:val="0"/>
        <w:jc w:val="both"/>
        <w:textAlignment w:val="baseline"/>
        <w:rPr>
          <w:rFonts w:asciiTheme="minorHAnsi" w:eastAsia="Calibri" w:hAnsiTheme="minorHAnsi" w:cstheme="minorHAnsi"/>
          <w:b/>
        </w:rPr>
      </w:pPr>
      <w:r>
        <w:rPr>
          <w:rFonts w:asciiTheme="minorHAnsi" w:eastAsia="Calibri" w:hAnsiTheme="minorHAnsi" w:cstheme="minorHAnsi"/>
          <w:b/>
        </w:rPr>
        <w:t>4</w:t>
      </w:r>
      <w:r w:rsidR="00476084" w:rsidRPr="00476084">
        <w:rPr>
          <w:rFonts w:asciiTheme="minorHAnsi" w:eastAsia="Calibri" w:hAnsiTheme="minorHAnsi" w:cstheme="minorHAnsi"/>
          <w:b/>
        </w:rPr>
        <w:t xml:space="preserve">.    </w:t>
      </w:r>
      <w:proofErr w:type="spellStart"/>
      <w:r w:rsidR="008E797B">
        <w:rPr>
          <w:rFonts w:asciiTheme="minorHAnsi" w:eastAsia="Calibri" w:hAnsiTheme="minorHAnsi" w:cstheme="minorHAnsi"/>
          <w:b/>
          <w:bCs/>
        </w:rPr>
        <w:t>Morabeza</w:t>
      </w:r>
      <w:proofErr w:type="spellEnd"/>
      <w:r w:rsidR="008E797B">
        <w:rPr>
          <w:rFonts w:asciiTheme="minorHAnsi" w:eastAsia="Calibri" w:hAnsiTheme="minorHAnsi" w:cstheme="minorHAnsi"/>
          <w:b/>
          <w:bCs/>
        </w:rPr>
        <w:t xml:space="preserve"> Capital Management, LLC </w:t>
      </w:r>
      <w:r w:rsidR="00476084" w:rsidRPr="00476084">
        <w:rPr>
          <w:rFonts w:asciiTheme="minorHAnsi" w:eastAsia="Calibri" w:hAnsiTheme="minorHAnsi" w:cstheme="minorHAnsi"/>
          <w:b/>
        </w:rPr>
        <w:t xml:space="preserve">– </w:t>
      </w:r>
      <w:r w:rsidR="008E797B">
        <w:rPr>
          <w:rFonts w:asciiTheme="minorHAnsi" w:eastAsia="Calibri" w:hAnsiTheme="minorHAnsi" w:cstheme="minorHAnsi"/>
          <w:b/>
        </w:rPr>
        <w:t>New Application</w:t>
      </w:r>
    </w:p>
    <w:p w:rsidR="00476084" w:rsidRPr="00476084" w:rsidRDefault="00476084" w:rsidP="00476084">
      <w:pPr>
        <w:suppressAutoHyphens/>
        <w:autoSpaceDN w:val="0"/>
        <w:jc w:val="both"/>
        <w:textAlignment w:val="baseline"/>
        <w:rPr>
          <w:rFonts w:asciiTheme="minorHAnsi" w:eastAsia="Calibri" w:hAnsiTheme="minorHAnsi" w:cstheme="minorHAnsi"/>
          <w:b/>
          <w:sz w:val="8"/>
          <w:szCs w:val="8"/>
        </w:rPr>
      </w:pPr>
    </w:p>
    <w:p w:rsidR="00AC2305" w:rsidRDefault="00FF7A90" w:rsidP="00FF7A90">
      <w:pPr>
        <w:autoSpaceDE w:val="0"/>
        <w:autoSpaceDN w:val="0"/>
        <w:adjustRightInd w:val="0"/>
        <w:ind w:left="360"/>
        <w:contextualSpacing/>
        <w:jc w:val="both"/>
        <w:rPr>
          <w:rFonts w:asciiTheme="minorHAnsi" w:eastAsiaTheme="minorHAnsi" w:hAnsiTheme="minorHAnsi" w:cstheme="minorHAnsi"/>
          <w:bCs/>
          <w:i/>
          <w:color w:val="000000"/>
          <w:sz w:val="20"/>
          <w:szCs w:val="20"/>
        </w:rPr>
      </w:pPr>
      <w:r w:rsidRPr="009A3FB0">
        <w:rPr>
          <w:rFonts w:asciiTheme="minorHAnsi" w:eastAsiaTheme="minorHAnsi" w:hAnsiTheme="minorHAnsi" w:cstheme="minorHAnsi"/>
          <w:bCs/>
          <w:i/>
          <w:color w:val="000000"/>
          <w:sz w:val="20"/>
          <w:szCs w:val="20"/>
        </w:rPr>
        <w:t>On May 10, 2021,</w:t>
      </w:r>
      <w:r>
        <w:rPr>
          <w:rFonts w:asciiTheme="minorHAnsi" w:eastAsiaTheme="minorHAnsi" w:hAnsiTheme="minorHAnsi" w:cstheme="minorHAnsi"/>
          <w:bCs/>
          <w:i/>
          <w:color w:val="000000"/>
          <w:sz w:val="20"/>
          <w:szCs w:val="20"/>
        </w:rPr>
        <w:t xml:space="preserve"> </w:t>
      </w:r>
      <w:proofErr w:type="spellStart"/>
      <w:r w:rsidR="009A3FB0" w:rsidRPr="009A3FB0">
        <w:rPr>
          <w:rFonts w:asciiTheme="minorHAnsi" w:eastAsiaTheme="minorHAnsi" w:hAnsiTheme="minorHAnsi" w:cstheme="minorHAnsi"/>
          <w:bCs/>
          <w:i/>
          <w:color w:val="000000"/>
          <w:sz w:val="20"/>
          <w:szCs w:val="20"/>
        </w:rPr>
        <w:t>Morabeza</w:t>
      </w:r>
      <w:proofErr w:type="spellEnd"/>
      <w:r w:rsidR="009A3FB0" w:rsidRPr="009A3FB0">
        <w:rPr>
          <w:rFonts w:asciiTheme="minorHAnsi" w:eastAsiaTheme="minorHAnsi" w:hAnsiTheme="minorHAnsi" w:cstheme="minorHAnsi"/>
          <w:bCs/>
          <w:i/>
          <w:color w:val="000000"/>
          <w:sz w:val="20"/>
          <w:szCs w:val="20"/>
        </w:rPr>
        <w:t xml:space="preserve"> Capital Management, LLC (“</w:t>
      </w:r>
      <w:proofErr w:type="spellStart"/>
      <w:r w:rsidR="009A3FB0" w:rsidRPr="009A3FB0">
        <w:rPr>
          <w:rFonts w:asciiTheme="minorHAnsi" w:eastAsiaTheme="minorHAnsi" w:hAnsiTheme="minorHAnsi" w:cstheme="minorHAnsi"/>
          <w:bCs/>
          <w:i/>
          <w:color w:val="000000"/>
          <w:sz w:val="20"/>
          <w:szCs w:val="20"/>
        </w:rPr>
        <w:t>Morabeza</w:t>
      </w:r>
      <w:proofErr w:type="spellEnd"/>
      <w:r w:rsidR="009A3FB0" w:rsidRPr="009A3FB0">
        <w:rPr>
          <w:rFonts w:asciiTheme="minorHAnsi" w:eastAsiaTheme="minorHAnsi" w:hAnsiTheme="minorHAnsi" w:cstheme="minorHAnsi"/>
          <w:bCs/>
          <w:i/>
          <w:color w:val="000000"/>
          <w:sz w:val="20"/>
          <w:szCs w:val="20"/>
        </w:rPr>
        <w:t xml:space="preserve">”) </w:t>
      </w:r>
      <w:r w:rsidRPr="009A3FB0">
        <w:rPr>
          <w:rFonts w:asciiTheme="minorHAnsi" w:eastAsiaTheme="minorHAnsi" w:hAnsiTheme="minorHAnsi" w:cstheme="minorHAnsi"/>
          <w:bCs/>
          <w:i/>
          <w:color w:val="000000"/>
          <w:sz w:val="20"/>
          <w:szCs w:val="20"/>
        </w:rPr>
        <w:t>filed an application with the Virgin Islands Economic Development Commission (“VIEDC”) for tax incentive benefits.</w:t>
      </w:r>
      <w:r>
        <w:rPr>
          <w:rFonts w:asciiTheme="minorHAnsi" w:eastAsiaTheme="minorHAnsi" w:hAnsiTheme="minorHAnsi" w:cstheme="minorHAnsi"/>
          <w:bCs/>
          <w:i/>
          <w:color w:val="000000"/>
          <w:sz w:val="20"/>
          <w:szCs w:val="20"/>
        </w:rPr>
        <w:t xml:space="preserve">  </w:t>
      </w:r>
      <w:proofErr w:type="spellStart"/>
      <w:r>
        <w:rPr>
          <w:rFonts w:asciiTheme="minorHAnsi" w:eastAsiaTheme="minorHAnsi" w:hAnsiTheme="minorHAnsi" w:cstheme="minorHAnsi"/>
          <w:bCs/>
          <w:i/>
          <w:color w:val="000000"/>
          <w:sz w:val="20"/>
          <w:szCs w:val="20"/>
        </w:rPr>
        <w:t>Morabeza</w:t>
      </w:r>
      <w:proofErr w:type="spellEnd"/>
      <w:r>
        <w:rPr>
          <w:rFonts w:asciiTheme="minorHAnsi" w:eastAsiaTheme="minorHAnsi" w:hAnsiTheme="minorHAnsi" w:cstheme="minorHAnsi"/>
          <w:bCs/>
          <w:i/>
          <w:color w:val="000000"/>
          <w:sz w:val="20"/>
          <w:szCs w:val="20"/>
        </w:rPr>
        <w:t xml:space="preserve"> </w:t>
      </w:r>
      <w:r w:rsidR="009A3FB0" w:rsidRPr="009A3FB0">
        <w:rPr>
          <w:rFonts w:asciiTheme="minorHAnsi" w:eastAsiaTheme="minorHAnsi" w:hAnsiTheme="minorHAnsi" w:cstheme="minorHAnsi"/>
          <w:bCs/>
          <w:i/>
          <w:color w:val="000000"/>
          <w:sz w:val="20"/>
          <w:szCs w:val="20"/>
        </w:rPr>
        <w:t>seeks VIEDC tax incentive benefits as a Category IV - Designat</w:t>
      </w:r>
      <w:r>
        <w:rPr>
          <w:rFonts w:asciiTheme="minorHAnsi" w:eastAsiaTheme="minorHAnsi" w:hAnsiTheme="minorHAnsi" w:cstheme="minorHAnsi"/>
          <w:bCs/>
          <w:i/>
          <w:color w:val="000000"/>
          <w:sz w:val="20"/>
          <w:szCs w:val="20"/>
        </w:rPr>
        <w:t xml:space="preserve">ed Services Business </w:t>
      </w:r>
      <w:r w:rsidR="009A3FB0" w:rsidRPr="009A3FB0">
        <w:rPr>
          <w:rFonts w:asciiTheme="minorHAnsi" w:eastAsiaTheme="minorHAnsi" w:hAnsiTheme="minorHAnsi" w:cstheme="minorHAnsi"/>
          <w:bCs/>
          <w:i/>
          <w:color w:val="000000"/>
          <w:sz w:val="20"/>
          <w:szCs w:val="20"/>
        </w:rPr>
        <w:t>engaging in a diversified array of financial analysis, advisory, consulting, and family office support services for high-net-worth families.</w:t>
      </w:r>
      <w:r>
        <w:rPr>
          <w:rFonts w:asciiTheme="minorHAnsi" w:eastAsiaTheme="minorHAnsi" w:hAnsiTheme="minorHAnsi" w:cstheme="minorHAnsi"/>
          <w:bCs/>
          <w:i/>
          <w:color w:val="000000"/>
          <w:sz w:val="20"/>
          <w:szCs w:val="20"/>
        </w:rPr>
        <w:t xml:space="preserve">  </w:t>
      </w:r>
    </w:p>
    <w:p w:rsidR="00AC2305" w:rsidRPr="0043575A" w:rsidRDefault="00AC2305" w:rsidP="00FF7A90">
      <w:pPr>
        <w:autoSpaceDE w:val="0"/>
        <w:autoSpaceDN w:val="0"/>
        <w:adjustRightInd w:val="0"/>
        <w:ind w:left="360"/>
        <w:contextualSpacing/>
        <w:jc w:val="both"/>
        <w:rPr>
          <w:rFonts w:asciiTheme="minorHAnsi" w:eastAsiaTheme="minorHAnsi" w:hAnsiTheme="minorHAnsi" w:cstheme="minorHAnsi"/>
          <w:bCs/>
          <w:i/>
          <w:color w:val="000000"/>
          <w:sz w:val="8"/>
          <w:szCs w:val="8"/>
        </w:rPr>
      </w:pPr>
    </w:p>
    <w:p w:rsidR="009A3FB0" w:rsidRPr="009A3FB0" w:rsidRDefault="009A3FB0" w:rsidP="00FF7A90">
      <w:pPr>
        <w:autoSpaceDE w:val="0"/>
        <w:autoSpaceDN w:val="0"/>
        <w:adjustRightInd w:val="0"/>
        <w:ind w:left="360"/>
        <w:contextualSpacing/>
        <w:jc w:val="both"/>
        <w:rPr>
          <w:rFonts w:asciiTheme="minorHAnsi" w:eastAsiaTheme="minorHAnsi" w:hAnsiTheme="minorHAnsi" w:cstheme="minorHAnsi"/>
          <w:bCs/>
          <w:i/>
          <w:color w:val="000000"/>
          <w:sz w:val="20"/>
          <w:szCs w:val="20"/>
        </w:rPr>
      </w:pPr>
      <w:proofErr w:type="spellStart"/>
      <w:r w:rsidRPr="009A3FB0">
        <w:rPr>
          <w:rFonts w:asciiTheme="minorHAnsi" w:eastAsiaTheme="minorHAnsi" w:hAnsiTheme="minorHAnsi" w:cstheme="minorHAnsi"/>
          <w:bCs/>
          <w:i/>
          <w:color w:val="000000"/>
          <w:sz w:val="20"/>
          <w:szCs w:val="20"/>
        </w:rPr>
        <w:t>Morabeza</w:t>
      </w:r>
      <w:proofErr w:type="spellEnd"/>
      <w:r w:rsidRPr="009A3FB0">
        <w:rPr>
          <w:rFonts w:asciiTheme="minorHAnsi" w:eastAsiaTheme="minorHAnsi" w:hAnsiTheme="minorHAnsi" w:cstheme="minorHAnsi"/>
          <w:bCs/>
          <w:i/>
          <w:color w:val="000000"/>
          <w:sz w:val="20"/>
          <w:szCs w:val="20"/>
        </w:rPr>
        <w:t xml:space="preserve"> commits to employ a minimum of five (5) full time employees</w:t>
      </w:r>
      <w:r w:rsidR="00FF7A90">
        <w:rPr>
          <w:rFonts w:asciiTheme="minorHAnsi" w:eastAsiaTheme="minorHAnsi" w:hAnsiTheme="minorHAnsi" w:cstheme="minorHAnsi"/>
          <w:bCs/>
          <w:i/>
          <w:color w:val="000000"/>
          <w:sz w:val="20"/>
          <w:szCs w:val="20"/>
        </w:rPr>
        <w:t xml:space="preserve">.  </w:t>
      </w:r>
      <w:proofErr w:type="spellStart"/>
      <w:r w:rsidR="00FF7A90">
        <w:rPr>
          <w:rFonts w:asciiTheme="minorHAnsi" w:eastAsiaTheme="minorHAnsi" w:hAnsiTheme="minorHAnsi" w:cstheme="minorHAnsi"/>
          <w:bCs/>
          <w:i/>
          <w:color w:val="000000"/>
          <w:sz w:val="20"/>
          <w:szCs w:val="20"/>
        </w:rPr>
        <w:t>M</w:t>
      </w:r>
      <w:r w:rsidRPr="009A3FB0">
        <w:rPr>
          <w:rFonts w:asciiTheme="minorHAnsi" w:eastAsiaTheme="minorHAnsi" w:hAnsiTheme="minorHAnsi" w:cstheme="minorHAnsi"/>
          <w:bCs/>
          <w:i/>
          <w:color w:val="000000"/>
          <w:sz w:val="20"/>
          <w:szCs w:val="20"/>
        </w:rPr>
        <w:t>orabeza</w:t>
      </w:r>
      <w:proofErr w:type="spellEnd"/>
      <w:r w:rsidRPr="009A3FB0">
        <w:rPr>
          <w:rFonts w:asciiTheme="minorHAnsi" w:eastAsiaTheme="minorHAnsi" w:hAnsiTheme="minorHAnsi" w:cstheme="minorHAnsi"/>
          <w:bCs/>
          <w:i/>
          <w:color w:val="000000"/>
          <w:sz w:val="20"/>
          <w:szCs w:val="20"/>
        </w:rPr>
        <w:t xml:space="preserve"> will invest a minimum capital investment of $100,000 in the benefitted business</w:t>
      </w:r>
      <w:r w:rsidR="00FF7A90">
        <w:rPr>
          <w:rFonts w:asciiTheme="minorHAnsi" w:eastAsiaTheme="minorHAnsi" w:hAnsiTheme="minorHAnsi" w:cstheme="minorHAnsi"/>
          <w:bCs/>
          <w:i/>
          <w:color w:val="000000"/>
          <w:sz w:val="20"/>
          <w:szCs w:val="20"/>
        </w:rPr>
        <w:t xml:space="preserve">.  </w:t>
      </w:r>
      <w:proofErr w:type="spellStart"/>
      <w:r w:rsidRPr="009A3FB0">
        <w:rPr>
          <w:rFonts w:asciiTheme="minorHAnsi" w:eastAsiaTheme="minorHAnsi" w:hAnsiTheme="minorHAnsi" w:cstheme="minorHAnsi"/>
          <w:bCs/>
          <w:i/>
          <w:color w:val="000000"/>
          <w:sz w:val="20"/>
          <w:szCs w:val="20"/>
        </w:rPr>
        <w:t>Morabeza</w:t>
      </w:r>
      <w:proofErr w:type="spellEnd"/>
      <w:r w:rsidRPr="009A3FB0">
        <w:rPr>
          <w:rFonts w:asciiTheme="minorHAnsi" w:eastAsiaTheme="minorHAnsi" w:hAnsiTheme="minorHAnsi" w:cstheme="minorHAnsi"/>
          <w:bCs/>
          <w:i/>
          <w:color w:val="000000"/>
          <w:sz w:val="20"/>
          <w:szCs w:val="20"/>
        </w:rPr>
        <w:t xml:space="preserve"> will be located on the island of St. Thomas.</w:t>
      </w:r>
    </w:p>
    <w:p w:rsidR="00476084" w:rsidRPr="00476084" w:rsidRDefault="00476084" w:rsidP="00476084">
      <w:pPr>
        <w:autoSpaceDE w:val="0"/>
        <w:autoSpaceDN w:val="0"/>
        <w:adjustRightInd w:val="0"/>
        <w:ind w:left="360"/>
        <w:contextualSpacing/>
        <w:jc w:val="both"/>
        <w:rPr>
          <w:rFonts w:asciiTheme="minorHAnsi" w:eastAsiaTheme="minorHAnsi" w:hAnsiTheme="minorHAnsi" w:cstheme="minorHAnsi"/>
          <w:color w:val="000000"/>
          <w:sz w:val="16"/>
          <w:szCs w:val="16"/>
        </w:rPr>
      </w:pPr>
    </w:p>
    <w:p w:rsidR="00476084" w:rsidRPr="00476084" w:rsidRDefault="00476084" w:rsidP="00476084">
      <w:pPr>
        <w:autoSpaceDE w:val="0"/>
        <w:autoSpaceDN w:val="0"/>
        <w:adjustRightInd w:val="0"/>
        <w:ind w:firstLine="360"/>
        <w:contextualSpacing/>
        <w:jc w:val="both"/>
        <w:rPr>
          <w:rFonts w:asciiTheme="minorHAnsi" w:eastAsiaTheme="minorHAnsi" w:hAnsiTheme="minorHAnsi" w:cstheme="minorHAnsi"/>
          <w:color w:val="000000"/>
        </w:rPr>
      </w:pPr>
      <w:r w:rsidRPr="00476084">
        <w:rPr>
          <w:rFonts w:asciiTheme="minorHAnsi" w:eastAsiaTheme="minorHAnsi" w:hAnsiTheme="minorHAnsi" w:cstheme="minorHAnsi"/>
          <w:color w:val="000000"/>
        </w:rPr>
        <w:t xml:space="preserve">The Governing </w:t>
      </w:r>
      <w:r w:rsidR="00C4655A">
        <w:rPr>
          <w:rFonts w:asciiTheme="minorHAnsi" w:eastAsiaTheme="minorHAnsi" w:hAnsiTheme="minorHAnsi" w:cstheme="minorHAnsi"/>
          <w:color w:val="000000"/>
        </w:rPr>
        <w:t>Board voted (4</w:t>
      </w:r>
      <w:r w:rsidRPr="00476084">
        <w:rPr>
          <w:rFonts w:asciiTheme="minorHAnsi" w:eastAsiaTheme="minorHAnsi" w:hAnsiTheme="minorHAnsi" w:cstheme="minorHAnsi"/>
          <w:color w:val="000000"/>
        </w:rPr>
        <w:t xml:space="preserve"> – 0) to:</w:t>
      </w:r>
    </w:p>
    <w:p w:rsidR="00476084" w:rsidRPr="00476084" w:rsidRDefault="00476084" w:rsidP="00476084">
      <w:pPr>
        <w:autoSpaceDE w:val="0"/>
        <w:autoSpaceDN w:val="0"/>
        <w:adjustRightInd w:val="0"/>
        <w:jc w:val="both"/>
        <w:rPr>
          <w:rFonts w:asciiTheme="minorHAnsi" w:eastAsiaTheme="minorHAnsi" w:hAnsiTheme="minorHAnsi" w:cstheme="minorHAnsi"/>
          <w:b/>
          <w:bCs/>
          <w:color w:val="000000"/>
          <w:sz w:val="8"/>
          <w:szCs w:val="8"/>
        </w:rPr>
      </w:pPr>
    </w:p>
    <w:p w:rsidR="00FA4C74" w:rsidRDefault="00FA4C74" w:rsidP="00FA4C74">
      <w:pPr>
        <w:pStyle w:val="ListParagraph"/>
        <w:numPr>
          <w:ilvl w:val="0"/>
          <w:numId w:val="25"/>
        </w:numPr>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 </w:t>
      </w:r>
      <w:r w:rsidRPr="00FA4C74">
        <w:rPr>
          <w:rFonts w:asciiTheme="minorHAnsi" w:eastAsiaTheme="minorHAnsi" w:hAnsiTheme="minorHAnsi" w:cstheme="minorHAnsi"/>
          <w:color w:val="000000"/>
        </w:rPr>
        <w:t xml:space="preserve">Find that </w:t>
      </w:r>
      <w:proofErr w:type="spellStart"/>
      <w:r w:rsidR="00FF7A90" w:rsidRPr="00FA4C74">
        <w:rPr>
          <w:rFonts w:asciiTheme="minorHAnsi" w:eastAsiaTheme="minorHAnsi" w:hAnsiTheme="minorHAnsi" w:cstheme="minorHAnsi"/>
          <w:color w:val="000000"/>
        </w:rPr>
        <w:t>Morabeza</w:t>
      </w:r>
      <w:proofErr w:type="spellEnd"/>
      <w:r w:rsidR="00FF7A90" w:rsidRPr="00FA4C74">
        <w:rPr>
          <w:rFonts w:asciiTheme="minorHAnsi" w:eastAsiaTheme="minorHAnsi" w:hAnsiTheme="minorHAnsi" w:cstheme="minorHAnsi"/>
          <w:color w:val="000000"/>
        </w:rPr>
        <w:t xml:space="preserve"> Capital Management, LLC is deserving of a </w:t>
      </w:r>
      <w:r>
        <w:rPr>
          <w:rFonts w:asciiTheme="minorHAnsi" w:eastAsiaTheme="minorHAnsi" w:hAnsiTheme="minorHAnsi" w:cstheme="minorHAnsi"/>
          <w:color w:val="000000"/>
        </w:rPr>
        <w:t>grant of tax incentive benefits.</w:t>
      </w:r>
    </w:p>
    <w:p w:rsidR="00FA4C74" w:rsidRPr="0043575A" w:rsidRDefault="00FA4C74" w:rsidP="00FA4C74">
      <w:pPr>
        <w:pStyle w:val="ListParagraph"/>
        <w:ind w:left="1080"/>
        <w:jc w:val="both"/>
        <w:rPr>
          <w:rFonts w:asciiTheme="minorHAnsi" w:eastAsiaTheme="minorHAnsi" w:hAnsiTheme="minorHAnsi" w:cstheme="minorHAnsi"/>
          <w:color w:val="000000"/>
          <w:sz w:val="12"/>
          <w:szCs w:val="12"/>
        </w:rPr>
      </w:pPr>
    </w:p>
    <w:p w:rsidR="00FA4C74" w:rsidRDefault="00FA4C74" w:rsidP="00FA4C74">
      <w:pPr>
        <w:pStyle w:val="ListParagraph"/>
        <w:numPr>
          <w:ilvl w:val="0"/>
          <w:numId w:val="25"/>
        </w:numPr>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Grant </w:t>
      </w:r>
      <w:proofErr w:type="spellStart"/>
      <w:r w:rsidRPr="00FA4C74">
        <w:rPr>
          <w:rFonts w:asciiTheme="minorHAnsi" w:eastAsiaTheme="minorHAnsi" w:hAnsiTheme="minorHAnsi" w:cstheme="minorHAnsi"/>
          <w:color w:val="000000"/>
        </w:rPr>
        <w:t>Morabeza</w:t>
      </w:r>
      <w:proofErr w:type="spellEnd"/>
      <w:r w:rsidRPr="00FA4C74">
        <w:rPr>
          <w:rFonts w:asciiTheme="minorHAnsi" w:eastAsiaTheme="minorHAnsi" w:hAnsiTheme="minorHAnsi" w:cstheme="minorHAnsi"/>
          <w:color w:val="000000"/>
        </w:rPr>
        <w:t xml:space="preserve"> Capital Management, LLC </w:t>
      </w:r>
      <w:r w:rsidR="00FF7A90" w:rsidRPr="00FA4C74">
        <w:rPr>
          <w:rFonts w:asciiTheme="minorHAnsi" w:eastAsiaTheme="minorHAnsi" w:hAnsiTheme="minorHAnsi" w:cstheme="minorHAnsi"/>
          <w:color w:val="000000"/>
        </w:rPr>
        <w:t>tax exemptions at one hundred percent (100%) of the incentives authorized by law for a period of 20 years in accordance with the provisions of V.I. CODE ANN., tit 29, chapter 12.</w:t>
      </w:r>
    </w:p>
    <w:p w:rsidR="00FA4C74" w:rsidRPr="0043575A" w:rsidRDefault="00FA4C74" w:rsidP="00FA4C74">
      <w:pPr>
        <w:pStyle w:val="ListParagraph"/>
        <w:rPr>
          <w:rFonts w:asciiTheme="minorHAnsi" w:eastAsiaTheme="minorHAnsi" w:hAnsiTheme="minorHAnsi" w:cstheme="minorHAnsi"/>
          <w:color w:val="000000"/>
          <w:sz w:val="12"/>
          <w:szCs w:val="12"/>
        </w:rPr>
      </w:pPr>
    </w:p>
    <w:p w:rsidR="00FF7A90" w:rsidRDefault="00FA4C74" w:rsidP="00FA4C74">
      <w:pPr>
        <w:pStyle w:val="ListParagraph"/>
        <w:numPr>
          <w:ilvl w:val="0"/>
          <w:numId w:val="25"/>
        </w:numPr>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Grant </w:t>
      </w:r>
      <w:proofErr w:type="spellStart"/>
      <w:r w:rsidRPr="00FA4C74">
        <w:rPr>
          <w:rFonts w:asciiTheme="minorHAnsi" w:eastAsiaTheme="minorHAnsi" w:hAnsiTheme="minorHAnsi" w:cstheme="minorHAnsi"/>
          <w:color w:val="000000"/>
        </w:rPr>
        <w:t>Morabeza</w:t>
      </w:r>
      <w:proofErr w:type="spellEnd"/>
      <w:r w:rsidRPr="00FA4C74">
        <w:rPr>
          <w:rFonts w:asciiTheme="minorHAnsi" w:eastAsiaTheme="minorHAnsi" w:hAnsiTheme="minorHAnsi" w:cstheme="minorHAnsi"/>
          <w:color w:val="000000"/>
        </w:rPr>
        <w:t xml:space="preserve"> Capital Management, LLC </w:t>
      </w:r>
      <w:r w:rsidR="00FF7A90" w:rsidRPr="00FA4C74">
        <w:rPr>
          <w:rFonts w:asciiTheme="minorHAnsi" w:eastAsiaTheme="minorHAnsi" w:hAnsiTheme="minorHAnsi" w:cstheme="minorHAnsi"/>
          <w:color w:val="000000"/>
        </w:rPr>
        <w:t>an extension of time to satisfy the minimum full-time employment requirement as follows:</w:t>
      </w:r>
    </w:p>
    <w:p w:rsidR="00FA4C74" w:rsidRPr="0043575A" w:rsidRDefault="00FA4C74" w:rsidP="00FA4C74">
      <w:pPr>
        <w:jc w:val="both"/>
        <w:rPr>
          <w:rFonts w:asciiTheme="minorHAnsi" w:eastAsiaTheme="minorHAnsi" w:hAnsiTheme="minorHAnsi" w:cstheme="minorHAnsi"/>
          <w:color w:val="000000"/>
          <w:sz w:val="8"/>
          <w:szCs w:val="8"/>
        </w:rPr>
      </w:pPr>
    </w:p>
    <w:p w:rsidR="00476084" w:rsidRDefault="00FF7A90" w:rsidP="00FA4C74">
      <w:pPr>
        <w:ind w:left="1800"/>
        <w:contextualSpacing/>
        <w:jc w:val="both"/>
        <w:rPr>
          <w:rFonts w:asciiTheme="minorHAnsi" w:eastAsiaTheme="minorHAnsi" w:hAnsiTheme="minorHAnsi" w:cstheme="minorHAnsi"/>
          <w:color w:val="000000"/>
        </w:rPr>
      </w:pPr>
      <w:r w:rsidRPr="00FF7A90">
        <w:rPr>
          <w:rFonts w:asciiTheme="minorHAnsi" w:eastAsiaTheme="minorHAnsi" w:hAnsiTheme="minorHAnsi" w:cstheme="minorHAnsi"/>
          <w:color w:val="000000"/>
        </w:rPr>
        <w:t>Applicant/Beneficiary shall employ a minimum of five (5) full-time employees, excluding owners, within two (2) years of the date that its Certificate is signed by the VIEDC Chairman.</w:t>
      </w:r>
    </w:p>
    <w:p w:rsidR="00FA4C74" w:rsidRPr="00476084" w:rsidRDefault="00FA4C74" w:rsidP="00FA4C74">
      <w:pPr>
        <w:ind w:left="1800"/>
        <w:contextualSpacing/>
        <w:jc w:val="both"/>
        <w:rPr>
          <w:rFonts w:asciiTheme="minorHAnsi" w:hAnsiTheme="minorHAnsi" w:cstheme="minorHAnsi"/>
          <w:sz w:val="20"/>
          <w:szCs w:val="20"/>
        </w:rPr>
      </w:pPr>
    </w:p>
    <w:p w:rsidR="00476084" w:rsidRPr="00476084" w:rsidRDefault="00B12034" w:rsidP="00476084">
      <w:pPr>
        <w:suppressAutoHyphens/>
        <w:autoSpaceDN w:val="0"/>
        <w:jc w:val="both"/>
        <w:textAlignment w:val="baseline"/>
        <w:rPr>
          <w:rFonts w:asciiTheme="minorHAnsi" w:eastAsia="Calibri" w:hAnsiTheme="minorHAnsi" w:cstheme="minorHAnsi"/>
          <w:b/>
        </w:rPr>
      </w:pPr>
      <w:r>
        <w:rPr>
          <w:rFonts w:asciiTheme="minorHAnsi" w:eastAsia="Calibri" w:hAnsiTheme="minorHAnsi" w:cstheme="minorHAnsi"/>
          <w:b/>
        </w:rPr>
        <w:t>5</w:t>
      </w:r>
      <w:r w:rsidR="00476084" w:rsidRPr="00476084">
        <w:rPr>
          <w:rFonts w:asciiTheme="minorHAnsi" w:eastAsia="Calibri" w:hAnsiTheme="minorHAnsi" w:cstheme="minorHAnsi"/>
          <w:b/>
        </w:rPr>
        <w:t xml:space="preserve">.    </w:t>
      </w:r>
      <w:proofErr w:type="spellStart"/>
      <w:r w:rsidR="00B82CFF">
        <w:rPr>
          <w:rFonts w:asciiTheme="minorHAnsi" w:eastAsia="Calibri" w:hAnsiTheme="minorHAnsi" w:cstheme="minorHAnsi"/>
          <w:b/>
          <w:bCs/>
        </w:rPr>
        <w:t>Tycheros</w:t>
      </w:r>
      <w:proofErr w:type="spellEnd"/>
      <w:r w:rsidR="00B82CFF">
        <w:rPr>
          <w:rFonts w:asciiTheme="minorHAnsi" w:eastAsia="Calibri" w:hAnsiTheme="minorHAnsi" w:cstheme="minorHAnsi"/>
          <w:b/>
          <w:bCs/>
        </w:rPr>
        <w:t xml:space="preserve"> Capital Management VI </w:t>
      </w:r>
      <w:proofErr w:type="gramStart"/>
      <w:r w:rsidR="00B82CFF">
        <w:rPr>
          <w:rFonts w:asciiTheme="minorHAnsi" w:eastAsia="Calibri" w:hAnsiTheme="minorHAnsi" w:cstheme="minorHAnsi"/>
          <w:b/>
          <w:bCs/>
        </w:rPr>
        <w:t>Group</w:t>
      </w:r>
      <w:r w:rsidR="00476084" w:rsidRPr="00476084">
        <w:rPr>
          <w:rFonts w:asciiTheme="minorHAnsi" w:eastAsia="Calibri" w:hAnsiTheme="minorHAnsi" w:cstheme="minorHAnsi"/>
          <w:b/>
        </w:rPr>
        <w:t xml:space="preserve">  –</w:t>
      </w:r>
      <w:proofErr w:type="gramEnd"/>
      <w:r w:rsidR="00476084" w:rsidRPr="00476084">
        <w:rPr>
          <w:rFonts w:asciiTheme="minorHAnsi" w:eastAsia="Calibri" w:hAnsiTheme="minorHAnsi" w:cstheme="minorHAnsi"/>
          <w:b/>
        </w:rPr>
        <w:t xml:space="preserve"> </w:t>
      </w:r>
      <w:r w:rsidR="00B82CFF">
        <w:rPr>
          <w:rFonts w:asciiTheme="minorHAnsi" w:eastAsia="Calibri" w:hAnsiTheme="minorHAnsi" w:cstheme="minorHAnsi"/>
          <w:b/>
        </w:rPr>
        <w:t>New Application</w:t>
      </w:r>
    </w:p>
    <w:p w:rsidR="00476084" w:rsidRPr="00476084" w:rsidRDefault="00476084" w:rsidP="00476084">
      <w:pPr>
        <w:suppressAutoHyphens/>
        <w:autoSpaceDN w:val="0"/>
        <w:jc w:val="both"/>
        <w:textAlignment w:val="baseline"/>
        <w:rPr>
          <w:rFonts w:asciiTheme="minorHAnsi" w:eastAsia="Calibri" w:hAnsiTheme="minorHAnsi" w:cstheme="minorHAnsi"/>
          <w:b/>
          <w:sz w:val="8"/>
          <w:szCs w:val="8"/>
        </w:rPr>
      </w:pPr>
    </w:p>
    <w:p w:rsidR="00FF7A90" w:rsidRPr="00FF7A90" w:rsidRDefault="00AC2305" w:rsidP="00FF7A90">
      <w:pPr>
        <w:autoSpaceDE w:val="0"/>
        <w:autoSpaceDN w:val="0"/>
        <w:adjustRightInd w:val="0"/>
        <w:ind w:left="360"/>
        <w:contextualSpacing/>
        <w:jc w:val="both"/>
        <w:rPr>
          <w:rFonts w:asciiTheme="minorHAnsi" w:eastAsiaTheme="minorHAnsi" w:hAnsiTheme="minorHAnsi" w:cstheme="minorHAnsi"/>
          <w:bCs/>
          <w:i/>
          <w:color w:val="000000"/>
          <w:sz w:val="20"/>
          <w:szCs w:val="20"/>
        </w:rPr>
      </w:pPr>
      <w:r w:rsidRPr="00FF7A90">
        <w:rPr>
          <w:rFonts w:asciiTheme="minorHAnsi" w:eastAsiaTheme="minorHAnsi" w:hAnsiTheme="minorHAnsi" w:cstheme="minorHAnsi"/>
          <w:bCs/>
          <w:i/>
          <w:color w:val="000000"/>
          <w:sz w:val="20"/>
          <w:szCs w:val="20"/>
        </w:rPr>
        <w:t xml:space="preserve">On March 15, 2021, </w:t>
      </w:r>
      <w:proofErr w:type="spellStart"/>
      <w:r w:rsidR="00FF7A90" w:rsidRPr="00FF7A90">
        <w:rPr>
          <w:rFonts w:asciiTheme="minorHAnsi" w:eastAsiaTheme="minorHAnsi" w:hAnsiTheme="minorHAnsi" w:cstheme="minorHAnsi"/>
          <w:bCs/>
          <w:i/>
          <w:color w:val="000000"/>
          <w:sz w:val="20"/>
          <w:szCs w:val="20"/>
        </w:rPr>
        <w:t>Tycheros</w:t>
      </w:r>
      <w:proofErr w:type="spellEnd"/>
      <w:r w:rsidR="00FF7A90" w:rsidRPr="00FF7A90">
        <w:rPr>
          <w:rFonts w:asciiTheme="minorHAnsi" w:eastAsiaTheme="minorHAnsi" w:hAnsiTheme="minorHAnsi" w:cstheme="minorHAnsi"/>
          <w:bCs/>
          <w:i/>
          <w:color w:val="000000"/>
          <w:sz w:val="20"/>
          <w:szCs w:val="20"/>
        </w:rPr>
        <w:t xml:space="preserve"> Capital Management VI Group (“</w:t>
      </w:r>
      <w:proofErr w:type="spellStart"/>
      <w:r w:rsidR="00FF7A90" w:rsidRPr="00FF7A90">
        <w:rPr>
          <w:rFonts w:asciiTheme="minorHAnsi" w:eastAsiaTheme="minorHAnsi" w:hAnsiTheme="minorHAnsi" w:cstheme="minorHAnsi"/>
          <w:bCs/>
          <w:i/>
          <w:color w:val="000000"/>
          <w:sz w:val="20"/>
          <w:szCs w:val="20"/>
        </w:rPr>
        <w:t>Tycheros</w:t>
      </w:r>
      <w:proofErr w:type="spellEnd"/>
      <w:r w:rsidR="00FF7A90" w:rsidRPr="00FF7A90">
        <w:rPr>
          <w:rFonts w:asciiTheme="minorHAnsi" w:eastAsiaTheme="minorHAnsi" w:hAnsiTheme="minorHAnsi" w:cstheme="minorHAnsi"/>
          <w:bCs/>
          <w:i/>
          <w:color w:val="000000"/>
          <w:sz w:val="20"/>
          <w:szCs w:val="20"/>
        </w:rPr>
        <w:t xml:space="preserve">”) </w:t>
      </w:r>
      <w:r w:rsidRPr="00FF7A90">
        <w:rPr>
          <w:rFonts w:asciiTheme="minorHAnsi" w:eastAsiaTheme="minorHAnsi" w:hAnsiTheme="minorHAnsi" w:cstheme="minorHAnsi"/>
          <w:bCs/>
          <w:i/>
          <w:color w:val="000000"/>
          <w:sz w:val="20"/>
          <w:szCs w:val="20"/>
        </w:rPr>
        <w:t xml:space="preserve">filed an application with the Virgin Islands Economic Development Commission (“VIEDC”) for tax incentive benefits.  </w:t>
      </w:r>
      <w:proofErr w:type="spellStart"/>
      <w:r w:rsidRPr="00FF7A90">
        <w:rPr>
          <w:rFonts w:asciiTheme="minorHAnsi" w:eastAsiaTheme="minorHAnsi" w:hAnsiTheme="minorHAnsi" w:cstheme="minorHAnsi"/>
          <w:bCs/>
          <w:i/>
          <w:color w:val="000000"/>
          <w:sz w:val="20"/>
          <w:szCs w:val="20"/>
        </w:rPr>
        <w:t>Tycheros</w:t>
      </w:r>
      <w:proofErr w:type="spellEnd"/>
      <w:r w:rsidRPr="00FF7A90">
        <w:rPr>
          <w:rFonts w:asciiTheme="minorHAnsi" w:eastAsiaTheme="minorHAnsi" w:hAnsiTheme="minorHAnsi" w:cstheme="minorHAnsi"/>
          <w:bCs/>
          <w:i/>
          <w:color w:val="000000"/>
          <w:sz w:val="20"/>
          <w:szCs w:val="20"/>
        </w:rPr>
        <w:t xml:space="preserve"> </w:t>
      </w:r>
      <w:r w:rsidR="00FF7A90" w:rsidRPr="00FF7A90">
        <w:rPr>
          <w:rFonts w:asciiTheme="minorHAnsi" w:eastAsiaTheme="minorHAnsi" w:hAnsiTheme="minorHAnsi" w:cstheme="minorHAnsi"/>
          <w:bCs/>
          <w:i/>
          <w:color w:val="000000"/>
          <w:sz w:val="20"/>
          <w:szCs w:val="20"/>
        </w:rPr>
        <w:t xml:space="preserve">seeks VIEDC tax incentive benefits as a Category IV - Designated Services Business for its provision of Family Office Financial Service Platform, that will leverage </w:t>
      </w:r>
      <w:proofErr w:type="spellStart"/>
      <w:r w:rsidR="00FF7A90" w:rsidRPr="00FF7A90">
        <w:rPr>
          <w:rFonts w:asciiTheme="minorHAnsi" w:eastAsiaTheme="minorHAnsi" w:hAnsiTheme="minorHAnsi" w:cstheme="minorHAnsi"/>
          <w:bCs/>
          <w:i/>
          <w:color w:val="000000"/>
          <w:sz w:val="20"/>
          <w:szCs w:val="20"/>
        </w:rPr>
        <w:t>Tycheros</w:t>
      </w:r>
      <w:proofErr w:type="spellEnd"/>
      <w:r w:rsidR="00FF7A90" w:rsidRPr="00FF7A90">
        <w:rPr>
          <w:rFonts w:asciiTheme="minorHAnsi" w:eastAsiaTheme="minorHAnsi" w:hAnsiTheme="minorHAnsi" w:cstheme="minorHAnsi"/>
          <w:bCs/>
          <w:i/>
          <w:color w:val="000000"/>
          <w:sz w:val="20"/>
          <w:szCs w:val="20"/>
        </w:rPr>
        <w:t xml:space="preserve"> experience in direct investing, mergers and acquisitions, financial structuring, technology and data systems development, implementation, licensing and other areas to</w:t>
      </w:r>
      <w:r w:rsidR="00446F3E">
        <w:rPr>
          <w:rFonts w:asciiTheme="minorHAnsi" w:eastAsiaTheme="minorHAnsi" w:hAnsiTheme="minorHAnsi" w:cstheme="minorHAnsi"/>
          <w:bCs/>
          <w:i/>
          <w:color w:val="000000"/>
          <w:sz w:val="20"/>
          <w:szCs w:val="20"/>
        </w:rPr>
        <w:t>:</w:t>
      </w:r>
      <w:r w:rsidR="00FF7A90" w:rsidRPr="00FF7A90">
        <w:rPr>
          <w:rFonts w:asciiTheme="minorHAnsi" w:eastAsiaTheme="minorHAnsi" w:hAnsiTheme="minorHAnsi" w:cstheme="minorHAnsi"/>
          <w:bCs/>
          <w:i/>
          <w:color w:val="000000"/>
          <w:sz w:val="20"/>
          <w:szCs w:val="20"/>
        </w:rPr>
        <w:t xml:space="preserve"> (</w:t>
      </w:r>
      <w:proofErr w:type="spellStart"/>
      <w:r w:rsidR="00FF7A90" w:rsidRPr="00FF7A90">
        <w:rPr>
          <w:rFonts w:asciiTheme="minorHAnsi" w:eastAsiaTheme="minorHAnsi" w:hAnsiTheme="minorHAnsi" w:cstheme="minorHAnsi"/>
          <w:bCs/>
          <w:i/>
          <w:color w:val="000000"/>
          <w:sz w:val="20"/>
          <w:szCs w:val="20"/>
        </w:rPr>
        <w:t>i</w:t>
      </w:r>
      <w:proofErr w:type="spellEnd"/>
      <w:r w:rsidR="00FF7A90" w:rsidRPr="00FF7A90">
        <w:rPr>
          <w:rFonts w:asciiTheme="minorHAnsi" w:eastAsiaTheme="minorHAnsi" w:hAnsiTheme="minorHAnsi" w:cstheme="minorHAnsi"/>
          <w:bCs/>
          <w:i/>
          <w:color w:val="000000"/>
          <w:sz w:val="20"/>
          <w:szCs w:val="20"/>
        </w:rPr>
        <w:t>) provide its portfolio companies access to private equity and debt capital, financial, technology and management consulting; (ii) provide its clients with discretionary investment advice, full range of management and reporting; (iii) to liaise with a broad range of third party service providers and professional services, commercial leasing and lending services; and (iv) offer investment services, administrative, business, asset and wealth management as well as concierge and other personal services, amongst other activities.</w:t>
      </w:r>
    </w:p>
    <w:p w:rsidR="00FF7A90" w:rsidRPr="0043575A" w:rsidRDefault="00FF7A90" w:rsidP="00FF7A90">
      <w:pPr>
        <w:autoSpaceDE w:val="0"/>
        <w:autoSpaceDN w:val="0"/>
        <w:adjustRightInd w:val="0"/>
        <w:ind w:left="360"/>
        <w:contextualSpacing/>
        <w:jc w:val="both"/>
        <w:rPr>
          <w:rFonts w:asciiTheme="minorHAnsi" w:eastAsiaTheme="minorHAnsi" w:hAnsiTheme="minorHAnsi" w:cstheme="minorHAnsi"/>
          <w:bCs/>
          <w:i/>
          <w:color w:val="000000"/>
          <w:sz w:val="8"/>
          <w:szCs w:val="8"/>
        </w:rPr>
      </w:pPr>
    </w:p>
    <w:p w:rsidR="00FF7A90" w:rsidRPr="00FF7A90" w:rsidRDefault="00FF7A90" w:rsidP="00FF7A90">
      <w:pPr>
        <w:autoSpaceDE w:val="0"/>
        <w:autoSpaceDN w:val="0"/>
        <w:adjustRightInd w:val="0"/>
        <w:ind w:left="360"/>
        <w:contextualSpacing/>
        <w:jc w:val="both"/>
        <w:rPr>
          <w:rFonts w:asciiTheme="minorHAnsi" w:eastAsiaTheme="minorHAnsi" w:hAnsiTheme="minorHAnsi" w:cstheme="minorHAnsi"/>
          <w:bCs/>
          <w:i/>
          <w:color w:val="000000"/>
          <w:sz w:val="20"/>
          <w:szCs w:val="20"/>
        </w:rPr>
      </w:pPr>
      <w:proofErr w:type="spellStart"/>
      <w:r w:rsidRPr="00FF7A90">
        <w:rPr>
          <w:rFonts w:asciiTheme="minorHAnsi" w:eastAsiaTheme="minorHAnsi" w:hAnsiTheme="minorHAnsi" w:cstheme="minorHAnsi"/>
          <w:bCs/>
          <w:i/>
          <w:color w:val="000000"/>
          <w:sz w:val="20"/>
          <w:szCs w:val="20"/>
        </w:rPr>
        <w:t>Tycheros</w:t>
      </w:r>
      <w:proofErr w:type="spellEnd"/>
      <w:r w:rsidRPr="00FF7A90">
        <w:rPr>
          <w:rFonts w:asciiTheme="minorHAnsi" w:eastAsiaTheme="minorHAnsi" w:hAnsiTheme="minorHAnsi" w:cstheme="minorHAnsi"/>
          <w:bCs/>
          <w:i/>
          <w:color w:val="000000"/>
          <w:sz w:val="20"/>
          <w:szCs w:val="20"/>
        </w:rPr>
        <w:t xml:space="preserve"> commits to employ a minimum of five (5) full time</w:t>
      </w:r>
      <w:r w:rsidR="00AC2305">
        <w:rPr>
          <w:rFonts w:asciiTheme="minorHAnsi" w:eastAsiaTheme="minorHAnsi" w:hAnsiTheme="minorHAnsi" w:cstheme="minorHAnsi"/>
          <w:bCs/>
          <w:i/>
          <w:color w:val="000000"/>
          <w:sz w:val="20"/>
          <w:szCs w:val="20"/>
        </w:rPr>
        <w:t xml:space="preserve">.  </w:t>
      </w:r>
      <w:proofErr w:type="spellStart"/>
      <w:r w:rsidRPr="00FF7A90">
        <w:rPr>
          <w:rFonts w:asciiTheme="minorHAnsi" w:eastAsiaTheme="minorHAnsi" w:hAnsiTheme="minorHAnsi" w:cstheme="minorHAnsi"/>
          <w:bCs/>
          <w:i/>
          <w:color w:val="000000"/>
          <w:sz w:val="20"/>
          <w:szCs w:val="20"/>
        </w:rPr>
        <w:t>Tycheros</w:t>
      </w:r>
      <w:proofErr w:type="spellEnd"/>
      <w:r w:rsidRPr="00FF7A90">
        <w:rPr>
          <w:rFonts w:asciiTheme="minorHAnsi" w:eastAsiaTheme="minorHAnsi" w:hAnsiTheme="minorHAnsi" w:cstheme="minorHAnsi"/>
          <w:bCs/>
          <w:i/>
          <w:color w:val="000000"/>
          <w:sz w:val="20"/>
          <w:szCs w:val="20"/>
        </w:rPr>
        <w:t xml:space="preserve"> will invest a minimum capital investment of $475,000 in the benefitted business</w:t>
      </w:r>
      <w:r w:rsidR="00AC2305">
        <w:rPr>
          <w:rFonts w:asciiTheme="minorHAnsi" w:eastAsiaTheme="minorHAnsi" w:hAnsiTheme="minorHAnsi" w:cstheme="minorHAnsi"/>
          <w:bCs/>
          <w:i/>
          <w:color w:val="000000"/>
          <w:sz w:val="20"/>
          <w:szCs w:val="20"/>
        </w:rPr>
        <w:t xml:space="preserve">.  </w:t>
      </w:r>
      <w:proofErr w:type="spellStart"/>
      <w:r w:rsidRPr="00FF7A90">
        <w:rPr>
          <w:rFonts w:asciiTheme="minorHAnsi" w:eastAsiaTheme="minorHAnsi" w:hAnsiTheme="minorHAnsi" w:cstheme="minorHAnsi"/>
          <w:bCs/>
          <w:i/>
          <w:color w:val="000000"/>
          <w:sz w:val="20"/>
          <w:szCs w:val="20"/>
        </w:rPr>
        <w:t>Tycheros</w:t>
      </w:r>
      <w:proofErr w:type="spellEnd"/>
      <w:r w:rsidRPr="00FF7A90">
        <w:rPr>
          <w:rFonts w:asciiTheme="minorHAnsi" w:eastAsiaTheme="minorHAnsi" w:hAnsiTheme="minorHAnsi" w:cstheme="minorHAnsi"/>
          <w:bCs/>
          <w:i/>
          <w:color w:val="000000"/>
          <w:sz w:val="20"/>
          <w:szCs w:val="20"/>
        </w:rPr>
        <w:t xml:space="preserve"> will be located on the island of St. Croix.</w:t>
      </w:r>
    </w:p>
    <w:p w:rsidR="00476084" w:rsidRPr="00476084" w:rsidRDefault="00476084" w:rsidP="00476084">
      <w:pPr>
        <w:autoSpaceDE w:val="0"/>
        <w:autoSpaceDN w:val="0"/>
        <w:adjustRightInd w:val="0"/>
        <w:ind w:left="360"/>
        <w:contextualSpacing/>
        <w:jc w:val="both"/>
        <w:rPr>
          <w:rFonts w:asciiTheme="minorHAnsi" w:eastAsiaTheme="minorHAnsi" w:hAnsiTheme="minorHAnsi" w:cstheme="minorHAnsi"/>
          <w:color w:val="000000"/>
          <w:sz w:val="16"/>
          <w:szCs w:val="16"/>
        </w:rPr>
      </w:pPr>
    </w:p>
    <w:p w:rsidR="00446F3E" w:rsidRPr="00446F3E" w:rsidRDefault="00446F3E" w:rsidP="00476084">
      <w:pPr>
        <w:autoSpaceDE w:val="0"/>
        <w:autoSpaceDN w:val="0"/>
        <w:adjustRightInd w:val="0"/>
        <w:ind w:firstLine="360"/>
        <w:contextualSpacing/>
        <w:jc w:val="both"/>
        <w:rPr>
          <w:rFonts w:asciiTheme="minorHAnsi" w:eastAsiaTheme="minorHAnsi" w:hAnsiTheme="minorHAnsi" w:cstheme="minorHAnsi"/>
          <w:b/>
          <w:color w:val="000000"/>
          <w:sz w:val="20"/>
          <w:szCs w:val="20"/>
          <w:u w:val="single"/>
        </w:rPr>
      </w:pPr>
      <w:r w:rsidRPr="00446F3E">
        <w:rPr>
          <w:rFonts w:asciiTheme="minorHAnsi" w:eastAsiaTheme="minorHAnsi" w:hAnsiTheme="minorHAnsi" w:cstheme="minorHAnsi"/>
          <w:b/>
          <w:color w:val="000000"/>
          <w:sz w:val="20"/>
          <w:szCs w:val="20"/>
          <w:u w:val="single"/>
        </w:rPr>
        <w:t>Motion 1</w:t>
      </w:r>
      <w:r>
        <w:rPr>
          <w:rFonts w:asciiTheme="minorHAnsi" w:eastAsiaTheme="minorHAnsi" w:hAnsiTheme="minorHAnsi" w:cstheme="minorHAnsi"/>
          <w:b/>
          <w:color w:val="000000"/>
          <w:sz w:val="20"/>
          <w:szCs w:val="20"/>
          <w:u w:val="single"/>
        </w:rPr>
        <w:t xml:space="preserve"> – VIEDC Tax Incentive Benefits</w:t>
      </w:r>
    </w:p>
    <w:p w:rsidR="00565AFE" w:rsidRPr="00565AFE" w:rsidRDefault="00476084" w:rsidP="00565AFE">
      <w:pPr>
        <w:autoSpaceDE w:val="0"/>
        <w:autoSpaceDN w:val="0"/>
        <w:adjustRightInd w:val="0"/>
        <w:ind w:firstLine="360"/>
        <w:contextualSpacing/>
        <w:jc w:val="both"/>
        <w:rPr>
          <w:rFonts w:asciiTheme="minorHAnsi" w:eastAsiaTheme="minorHAnsi" w:hAnsiTheme="minorHAnsi" w:cstheme="minorHAnsi"/>
          <w:color w:val="000000"/>
        </w:rPr>
      </w:pPr>
      <w:r w:rsidRPr="00476084">
        <w:rPr>
          <w:rFonts w:asciiTheme="minorHAnsi" w:eastAsiaTheme="minorHAnsi" w:hAnsiTheme="minorHAnsi" w:cstheme="minorHAnsi"/>
          <w:color w:val="000000"/>
        </w:rPr>
        <w:t xml:space="preserve">The Governing </w:t>
      </w:r>
      <w:r w:rsidR="00C4655A">
        <w:rPr>
          <w:rFonts w:asciiTheme="minorHAnsi" w:eastAsiaTheme="minorHAnsi" w:hAnsiTheme="minorHAnsi" w:cstheme="minorHAnsi"/>
          <w:color w:val="000000"/>
        </w:rPr>
        <w:t>Board voted (4</w:t>
      </w:r>
      <w:r w:rsidRPr="00476084">
        <w:rPr>
          <w:rFonts w:asciiTheme="minorHAnsi" w:eastAsiaTheme="minorHAnsi" w:hAnsiTheme="minorHAnsi" w:cstheme="minorHAnsi"/>
          <w:color w:val="000000"/>
        </w:rPr>
        <w:t xml:space="preserve"> – 0) to:</w:t>
      </w:r>
    </w:p>
    <w:p w:rsidR="00565AFE" w:rsidRPr="0043575A" w:rsidRDefault="00565AFE" w:rsidP="00565AFE">
      <w:pPr>
        <w:autoSpaceDE w:val="0"/>
        <w:autoSpaceDN w:val="0"/>
        <w:adjustRightInd w:val="0"/>
        <w:ind w:firstLine="360"/>
        <w:contextualSpacing/>
        <w:jc w:val="both"/>
        <w:rPr>
          <w:rFonts w:asciiTheme="minorHAnsi" w:eastAsiaTheme="minorHAnsi" w:hAnsiTheme="minorHAnsi" w:cstheme="minorHAnsi"/>
          <w:color w:val="000000"/>
          <w:sz w:val="8"/>
          <w:szCs w:val="8"/>
        </w:rPr>
      </w:pPr>
    </w:p>
    <w:p w:rsidR="00565AFE" w:rsidRPr="007E14EF" w:rsidRDefault="00565AFE" w:rsidP="007E14EF">
      <w:pPr>
        <w:pStyle w:val="ListParagraph"/>
        <w:numPr>
          <w:ilvl w:val="0"/>
          <w:numId w:val="27"/>
        </w:numPr>
        <w:autoSpaceDE w:val="0"/>
        <w:autoSpaceDN w:val="0"/>
        <w:adjustRightInd w:val="0"/>
        <w:ind w:left="1080"/>
        <w:jc w:val="both"/>
        <w:rPr>
          <w:rFonts w:asciiTheme="minorHAnsi" w:eastAsiaTheme="minorHAnsi" w:hAnsiTheme="minorHAnsi" w:cstheme="minorHAnsi"/>
          <w:color w:val="000000"/>
        </w:rPr>
      </w:pPr>
      <w:r w:rsidRPr="007E14EF">
        <w:rPr>
          <w:rFonts w:asciiTheme="minorHAnsi" w:eastAsiaTheme="minorHAnsi" w:hAnsiTheme="minorHAnsi" w:cstheme="minorHAnsi"/>
          <w:bCs/>
          <w:color w:val="000000"/>
        </w:rPr>
        <w:t>Find that</w:t>
      </w:r>
      <w:r w:rsidR="00AD4500" w:rsidRPr="007E14EF">
        <w:rPr>
          <w:rFonts w:asciiTheme="minorHAnsi" w:eastAsiaTheme="minorHAnsi" w:hAnsiTheme="minorHAnsi" w:cstheme="minorHAnsi"/>
          <w:bCs/>
          <w:color w:val="000000"/>
        </w:rPr>
        <w:t xml:space="preserve"> </w:t>
      </w:r>
      <w:proofErr w:type="spellStart"/>
      <w:r w:rsidR="00AD4500" w:rsidRPr="007E14EF">
        <w:rPr>
          <w:rFonts w:asciiTheme="minorHAnsi" w:eastAsiaTheme="minorHAnsi" w:hAnsiTheme="minorHAnsi" w:cstheme="minorHAnsi"/>
          <w:color w:val="000000"/>
        </w:rPr>
        <w:t>Tycheros</w:t>
      </w:r>
      <w:proofErr w:type="spellEnd"/>
      <w:r w:rsidR="00AD4500" w:rsidRPr="007E14EF">
        <w:rPr>
          <w:rFonts w:asciiTheme="minorHAnsi" w:eastAsiaTheme="minorHAnsi" w:hAnsiTheme="minorHAnsi" w:cstheme="minorHAnsi"/>
          <w:color w:val="000000"/>
        </w:rPr>
        <w:t xml:space="preserve"> Capital Management VI, Inc. is deserving of a g</w:t>
      </w:r>
      <w:r w:rsidRPr="007E14EF">
        <w:rPr>
          <w:rFonts w:asciiTheme="minorHAnsi" w:eastAsiaTheme="minorHAnsi" w:hAnsiTheme="minorHAnsi" w:cstheme="minorHAnsi"/>
          <w:color w:val="000000"/>
        </w:rPr>
        <w:t>rant of tax incentive benefits.</w:t>
      </w:r>
    </w:p>
    <w:p w:rsidR="00565AFE" w:rsidRPr="0043575A" w:rsidRDefault="00565AFE" w:rsidP="00326BCD">
      <w:pPr>
        <w:pStyle w:val="ListParagraph"/>
        <w:autoSpaceDE w:val="0"/>
        <w:autoSpaceDN w:val="0"/>
        <w:adjustRightInd w:val="0"/>
        <w:ind w:left="1350"/>
        <w:jc w:val="both"/>
        <w:rPr>
          <w:rFonts w:asciiTheme="minorHAnsi" w:eastAsiaTheme="minorHAnsi" w:hAnsiTheme="minorHAnsi" w:cstheme="minorHAnsi"/>
          <w:color w:val="000000"/>
          <w:sz w:val="12"/>
          <w:szCs w:val="12"/>
        </w:rPr>
      </w:pPr>
    </w:p>
    <w:p w:rsidR="00AD4500" w:rsidRPr="00565AFE" w:rsidRDefault="00565AFE" w:rsidP="007E14EF">
      <w:pPr>
        <w:pStyle w:val="ListParagraph"/>
        <w:numPr>
          <w:ilvl w:val="0"/>
          <w:numId w:val="27"/>
        </w:numPr>
        <w:autoSpaceDE w:val="0"/>
        <w:autoSpaceDN w:val="0"/>
        <w:adjustRightInd w:val="0"/>
        <w:ind w:left="1080"/>
        <w:jc w:val="both"/>
        <w:rPr>
          <w:rFonts w:asciiTheme="minorHAnsi" w:eastAsiaTheme="minorHAnsi" w:hAnsiTheme="minorHAnsi" w:cstheme="minorHAnsi"/>
          <w:color w:val="000000"/>
        </w:rPr>
      </w:pPr>
      <w:r w:rsidRPr="00565AFE">
        <w:rPr>
          <w:rFonts w:asciiTheme="minorHAnsi" w:eastAsiaTheme="minorHAnsi" w:hAnsiTheme="minorHAnsi" w:cstheme="minorHAnsi"/>
          <w:bCs/>
          <w:color w:val="000000"/>
        </w:rPr>
        <w:t>Grant</w:t>
      </w:r>
      <w:r w:rsidR="00AD4500" w:rsidRPr="00565AFE">
        <w:rPr>
          <w:rFonts w:asciiTheme="minorHAnsi" w:eastAsiaTheme="minorHAnsi" w:hAnsiTheme="minorHAnsi" w:cstheme="minorHAnsi"/>
          <w:b/>
          <w:bCs/>
          <w:color w:val="000000"/>
        </w:rPr>
        <w:t xml:space="preserve"> </w:t>
      </w:r>
      <w:proofErr w:type="spellStart"/>
      <w:r w:rsidRPr="00565AFE">
        <w:rPr>
          <w:rFonts w:asciiTheme="minorHAnsi" w:eastAsiaTheme="minorHAnsi" w:hAnsiTheme="minorHAnsi" w:cstheme="minorHAnsi"/>
          <w:color w:val="000000"/>
        </w:rPr>
        <w:t>Tycheros</w:t>
      </w:r>
      <w:proofErr w:type="spellEnd"/>
      <w:r w:rsidRPr="00565AFE">
        <w:rPr>
          <w:rFonts w:asciiTheme="minorHAnsi" w:eastAsiaTheme="minorHAnsi" w:hAnsiTheme="minorHAnsi" w:cstheme="minorHAnsi"/>
          <w:color w:val="000000"/>
        </w:rPr>
        <w:t xml:space="preserve"> Capital Management VI, Inc.</w:t>
      </w:r>
      <w:r w:rsidR="00AD4500" w:rsidRPr="00565AFE">
        <w:rPr>
          <w:rFonts w:asciiTheme="minorHAnsi" w:eastAsiaTheme="minorHAnsi" w:hAnsiTheme="minorHAnsi" w:cstheme="minorHAnsi"/>
          <w:color w:val="000000"/>
        </w:rPr>
        <w:t xml:space="preserve"> tax exemptions at one hundred percent (100%) of the incentives authorized by law for a period of 20 years in accordance with the provisions of V.I. CODE ANN., tit 29, chapter 12. </w:t>
      </w:r>
    </w:p>
    <w:p w:rsidR="00AD4500" w:rsidRPr="0043575A" w:rsidRDefault="00AD4500" w:rsidP="00326BCD">
      <w:pPr>
        <w:autoSpaceDE w:val="0"/>
        <w:autoSpaceDN w:val="0"/>
        <w:adjustRightInd w:val="0"/>
        <w:jc w:val="both"/>
        <w:rPr>
          <w:rFonts w:asciiTheme="minorHAnsi" w:eastAsiaTheme="minorHAnsi" w:hAnsiTheme="minorHAnsi" w:cstheme="minorHAnsi"/>
          <w:color w:val="000000"/>
          <w:sz w:val="12"/>
          <w:szCs w:val="12"/>
        </w:rPr>
      </w:pPr>
    </w:p>
    <w:p w:rsidR="00AD4500" w:rsidRPr="00AD4500" w:rsidRDefault="00446F3E" w:rsidP="00326BCD">
      <w:pPr>
        <w:autoSpaceDE w:val="0"/>
        <w:autoSpaceDN w:val="0"/>
        <w:adjustRightInd w:val="0"/>
        <w:ind w:firstLine="360"/>
        <w:jc w:val="both"/>
        <w:rPr>
          <w:rFonts w:asciiTheme="minorHAnsi" w:eastAsiaTheme="minorHAnsi" w:hAnsiTheme="minorHAnsi" w:cstheme="minorHAnsi"/>
          <w:b/>
          <w:color w:val="000000"/>
          <w:sz w:val="20"/>
          <w:szCs w:val="20"/>
          <w:u w:val="single"/>
        </w:rPr>
      </w:pPr>
      <w:r w:rsidRPr="00565AFE">
        <w:rPr>
          <w:rFonts w:asciiTheme="minorHAnsi" w:eastAsiaTheme="minorHAnsi" w:hAnsiTheme="minorHAnsi" w:cstheme="minorHAnsi"/>
          <w:b/>
          <w:bCs/>
          <w:color w:val="000000"/>
          <w:sz w:val="20"/>
          <w:szCs w:val="20"/>
          <w:u w:val="single"/>
        </w:rPr>
        <w:t>Motion 2 – Inclusion of Other Entities</w:t>
      </w:r>
      <w:r w:rsidR="00565AFE" w:rsidRPr="00565AFE">
        <w:rPr>
          <w:rFonts w:asciiTheme="minorHAnsi" w:eastAsiaTheme="minorHAnsi" w:hAnsiTheme="minorHAnsi" w:cstheme="minorHAnsi"/>
          <w:b/>
          <w:bCs/>
          <w:color w:val="000000"/>
          <w:sz w:val="20"/>
          <w:szCs w:val="20"/>
          <w:u w:val="single"/>
        </w:rPr>
        <w:t xml:space="preserve"> on VIEDC Certificate</w:t>
      </w:r>
      <w:r w:rsidRPr="00565AFE">
        <w:rPr>
          <w:rFonts w:asciiTheme="minorHAnsi" w:eastAsiaTheme="minorHAnsi" w:hAnsiTheme="minorHAnsi" w:cstheme="minorHAnsi"/>
          <w:b/>
          <w:bCs/>
          <w:color w:val="000000"/>
          <w:sz w:val="20"/>
          <w:szCs w:val="20"/>
          <w:u w:val="single"/>
        </w:rPr>
        <w:t>:</w:t>
      </w:r>
      <w:r w:rsidR="00AD4500" w:rsidRPr="00AD4500">
        <w:rPr>
          <w:rFonts w:asciiTheme="minorHAnsi" w:eastAsiaTheme="minorHAnsi" w:hAnsiTheme="minorHAnsi" w:cstheme="minorHAnsi"/>
          <w:b/>
          <w:bCs/>
          <w:color w:val="000000"/>
          <w:sz w:val="20"/>
          <w:szCs w:val="20"/>
          <w:u w:val="single"/>
        </w:rPr>
        <w:t xml:space="preserve"> </w:t>
      </w:r>
    </w:p>
    <w:p w:rsidR="00565AFE" w:rsidRPr="00476084" w:rsidRDefault="00565AFE" w:rsidP="00326BCD">
      <w:pPr>
        <w:autoSpaceDE w:val="0"/>
        <w:autoSpaceDN w:val="0"/>
        <w:adjustRightInd w:val="0"/>
        <w:ind w:firstLine="360"/>
        <w:contextualSpacing/>
        <w:jc w:val="both"/>
        <w:rPr>
          <w:rFonts w:asciiTheme="minorHAnsi" w:eastAsiaTheme="minorHAnsi" w:hAnsiTheme="minorHAnsi" w:cstheme="minorHAnsi"/>
          <w:color w:val="000000"/>
        </w:rPr>
      </w:pPr>
      <w:r w:rsidRPr="00476084">
        <w:rPr>
          <w:rFonts w:asciiTheme="minorHAnsi" w:eastAsiaTheme="minorHAnsi" w:hAnsiTheme="minorHAnsi" w:cstheme="minorHAnsi"/>
          <w:color w:val="000000"/>
        </w:rPr>
        <w:t xml:space="preserve">The Governing </w:t>
      </w:r>
      <w:r w:rsidR="00C4655A">
        <w:rPr>
          <w:rFonts w:asciiTheme="minorHAnsi" w:eastAsiaTheme="minorHAnsi" w:hAnsiTheme="minorHAnsi" w:cstheme="minorHAnsi"/>
          <w:color w:val="000000"/>
        </w:rPr>
        <w:t>Board voted (4</w:t>
      </w:r>
      <w:r w:rsidRPr="00476084">
        <w:rPr>
          <w:rFonts w:asciiTheme="minorHAnsi" w:eastAsiaTheme="minorHAnsi" w:hAnsiTheme="minorHAnsi" w:cstheme="minorHAnsi"/>
          <w:color w:val="000000"/>
        </w:rPr>
        <w:t xml:space="preserve"> – 0) to:</w:t>
      </w:r>
    </w:p>
    <w:p w:rsidR="00565AFE" w:rsidRPr="00476084" w:rsidRDefault="00565AFE" w:rsidP="00326BCD">
      <w:pPr>
        <w:autoSpaceDE w:val="0"/>
        <w:autoSpaceDN w:val="0"/>
        <w:adjustRightInd w:val="0"/>
        <w:jc w:val="both"/>
        <w:rPr>
          <w:rFonts w:asciiTheme="minorHAnsi" w:eastAsiaTheme="minorHAnsi" w:hAnsiTheme="minorHAnsi" w:cstheme="minorHAnsi"/>
          <w:b/>
          <w:bCs/>
          <w:color w:val="000000"/>
          <w:sz w:val="8"/>
          <w:szCs w:val="8"/>
        </w:rPr>
      </w:pPr>
    </w:p>
    <w:p w:rsidR="00AD4500" w:rsidRPr="00565AFE" w:rsidRDefault="000B32F4" w:rsidP="00326BCD">
      <w:pPr>
        <w:pStyle w:val="ListParagraph"/>
        <w:numPr>
          <w:ilvl w:val="0"/>
          <w:numId w:val="30"/>
        </w:numPr>
        <w:autoSpaceDE w:val="0"/>
        <w:autoSpaceDN w:val="0"/>
        <w:adjustRightInd w:val="0"/>
        <w:jc w:val="both"/>
        <w:rPr>
          <w:rFonts w:asciiTheme="minorHAnsi" w:eastAsiaTheme="minorHAnsi" w:hAnsiTheme="minorHAnsi" w:cstheme="minorHAnsi"/>
          <w:color w:val="000000"/>
        </w:rPr>
      </w:pPr>
      <w:r>
        <w:rPr>
          <w:rFonts w:asciiTheme="minorHAnsi" w:eastAsiaTheme="minorHAnsi" w:hAnsiTheme="minorHAnsi" w:cstheme="minorHAnsi"/>
          <w:color w:val="000000"/>
        </w:rPr>
        <w:t>D</w:t>
      </w:r>
      <w:r w:rsidR="00AD4500" w:rsidRPr="00565AFE">
        <w:rPr>
          <w:rFonts w:asciiTheme="minorHAnsi" w:eastAsiaTheme="minorHAnsi" w:hAnsiTheme="minorHAnsi" w:cstheme="minorHAnsi"/>
          <w:color w:val="000000"/>
        </w:rPr>
        <w:t>eny the inc</w:t>
      </w:r>
      <w:r>
        <w:rPr>
          <w:rFonts w:asciiTheme="minorHAnsi" w:eastAsiaTheme="minorHAnsi" w:hAnsiTheme="minorHAnsi" w:cstheme="minorHAnsi"/>
          <w:color w:val="000000"/>
        </w:rPr>
        <w:t xml:space="preserve">lusion of the four (4) entities - </w:t>
      </w:r>
      <w:r w:rsidR="00AD4500" w:rsidRPr="00565AFE">
        <w:rPr>
          <w:rFonts w:asciiTheme="minorHAnsi" w:eastAsiaTheme="minorHAnsi" w:hAnsiTheme="minorHAnsi" w:cstheme="minorHAnsi"/>
          <w:bCs/>
          <w:color w:val="000000"/>
        </w:rPr>
        <w:t>PRD 20 VI, LLC, SAD 20V</w:t>
      </w:r>
      <w:r>
        <w:rPr>
          <w:rFonts w:asciiTheme="minorHAnsi" w:eastAsiaTheme="minorHAnsi" w:hAnsiTheme="minorHAnsi" w:cstheme="minorHAnsi"/>
          <w:bCs/>
          <w:color w:val="000000"/>
        </w:rPr>
        <w:t>I, LLC, Liquid Capital, LP and I</w:t>
      </w:r>
      <w:r w:rsidR="00AD4500" w:rsidRPr="00565AFE">
        <w:rPr>
          <w:rFonts w:asciiTheme="minorHAnsi" w:eastAsiaTheme="minorHAnsi" w:hAnsiTheme="minorHAnsi" w:cstheme="minorHAnsi"/>
          <w:bCs/>
          <w:color w:val="000000"/>
        </w:rPr>
        <w:t>lliquid Capital,</w:t>
      </w:r>
      <w:r w:rsidR="00AD4500" w:rsidRPr="00565AFE">
        <w:rPr>
          <w:rFonts w:asciiTheme="minorHAnsi" w:eastAsiaTheme="minorHAnsi" w:hAnsiTheme="minorHAnsi" w:cstheme="minorHAnsi"/>
          <w:b/>
          <w:bCs/>
          <w:color w:val="000000"/>
        </w:rPr>
        <w:t xml:space="preserve"> </w:t>
      </w:r>
      <w:r w:rsidRPr="000B32F4">
        <w:rPr>
          <w:rFonts w:asciiTheme="minorHAnsi" w:eastAsiaTheme="minorHAnsi" w:hAnsiTheme="minorHAnsi" w:cstheme="minorHAnsi"/>
          <w:bCs/>
          <w:color w:val="000000"/>
        </w:rPr>
        <w:t>LP,</w:t>
      </w:r>
      <w:r>
        <w:rPr>
          <w:rFonts w:asciiTheme="minorHAnsi" w:eastAsiaTheme="minorHAnsi" w:hAnsiTheme="minorHAnsi" w:cstheme="minorHAnsi"/>
          <w:b/>
          <w:bCs/>
          <w:color w:val="000000"/>
        </w:rPr>
        <w:t xml:space="preserve"> </w:t>
      </w:r>
      <w:r w:rsidR="00AD4500" w:rsidRPr="00565AFE">
        <w:rPr>
          <w:rFonts w:asciiTheme="minorHAnsi" w:eastAsiaTheme="minorHAnsi" w:hAnsiTheme="minorHAnsi" w:cstheme="minorHAnsi"/>
          <w:color w:val="000000"/>
        </w:rPr>
        <w:t>under the grant of tax incentives based on the</w:t>
      </w:r>
      <w:r w:rsidR="00565AFE" w:rsidRPr="00565AFE">
        <w:rPr>
          <w:rFonts w:asciiTheme="minorHAnsi" w:eastAsiaTheme="minorHAnsi" w:hAnsiTheme="minorHAnsi" w:cstheme="minorHAnsi"/>
          <w:color w:val="000000"/>
        </w:rPr>
        <w:t xml:space="preserve"> </w:t>
      </w:r>
      <w:r w:rsidR="00AD4500" w:rsidRPr="00565AFE">
        <w:rPr>
          <w:rFonts w:asciiTheme="minorHAnsi" w:eastAsiaTheme="minorHAnsi" w:hAnsiTheme="minorHAnsi" w:cstheme="minorHAnsi"/>
          <w:color w:val="000000"/>
        </w:rPr>
        <w:t>following:</w:t>
      </w:r>
    </w:p>
    <w:p w:rsidR="00565AFE" w:rsidRPr="0043575A" w:rsidRDefault="00565AFE" w:rsidP="00326BCD">
      <w:pPr>
        <w:pStyle w:val="ListParagraph"/>
        <w:autoSpaceDE w:val="0"/>
        <w:autoSpaceDN w:val="0"/>
        <w:adjustRightInd w:val="0"/>
        <w:jc w:val="both"/>
        <w:rPr>
          <w:rFonts w:asciiTheme="minorHAnsi" w:eastAsiaTheme="minorHAnsi" w:hAnsiTheme="minorHAnsi" w:cstheme="minorHAnsi"/>
          <w:color w:val="000000"/>
          <w:sz w:val="8"/>
          <w:szCs w:val="8"/>
        </w:rPr>
      </w:pPr>
    </w:p>
    <w:p w:rsidR="000B32F4" w:rsidRDefault="00AD4500" w:rsidP="00326BCD">
      <w:pPr>
        <w:pStyle w:val="ListParagraph"/>
        <w:numPr>
          <w:ilvl w:val="0"/>
          <w:numId w:val="31"/>
        </w:numPr>
        <w:autoSpaceDE w:val="0"/>
        <w:autoSpaceDN w:val="0"/>
        <w:adjustRightInd w:val="0"/>
        <w:spacing w:after="262"/>
        <w:jc w:val="both"/>
        <w:rPr>
          <w:rFonts w:asciiTheme="minorHAnsi" w:eastAsiaTheme="minorHAnsi" w:hAnsiTheme="minorHAnsi" w:cstheme="minorHAnsi"/>
          <w:color w:val="000000"/>
        </w:rPr>
      </w:pPr>
      <w:r w:rsidRPr="000B32F4">
        <w:rPr>
          <w:rFonts w:asciiTheme="minorHAnsi" w:eastAsiaTheme="minorHAnsi" w:hAnsiTheme="minorHAnsi" w:cstheme="minorHAnsi"/>
          <w:color w:val="000000"/>
        </w:rPr>
        <w:t>The four (4) entities, PRD 20 VI, LLC, SAD 20 VI, LLC, Liquid Capital, LP and Illiquid</w:t>
      </w:r>
      <w:r w:rsidR="000B32F4" w:rsidRPr="000B32F4">
        <w:rPr>
          <w:rFonts w:asciiTheme="minorHAnsi" w:eastAsiaTheme="minorHAnsi" w:hAnsiTheme="minorHAnsi" w:cstheme="minorHAnsi"/>
          <w:color w:val="000000"/>
        </w:rPr>
        <w:t xml:space="preserve"> </w:t>
      </w:r>
      <w:r w:rsidRPr="000B32F4">
        <w:rPr>
          <w:rFonts w:asciiTheme="minorHAnsi" w:eastAsiaTheme="minorHAnsi" w:hAnsiTheme="minorHAnsi" w:cstheme="minorHAnsi"/>
          <w:color w:val="000000"/>
        </w:rPr>
        <w:t>Capital,</w:t>
      </w:r>
      <w:r w:rsidR="00326BCD">
        <w:rPr>
          <w:rFonts w:asciiTheme="minorHAnsi" w:eastAsiaTheme="minorHAnsi" w:hAnsiTheme="minorHAnsi" w:cstheme="minorHAnsi"/>
          <w:color w:val="000000"/>
        </w:rPr>
        <w:t xml:space="preserve"> LP</w:t>
      </w:r>
      <w:r w:rsidRPr="000B32F4">
        <w:rPr>
          <w:rFonts w:asciiTheme="minorHAnsi" w:eastAsiaTheme="minorHAnsi" w:hAnsiTheme="minorHAnsi" w:cstheme="minorHAnsi"/>
          <w:color w:val="000000"/>
        </w:rPr>
        <w:t xml:space="preserve">, are not disregarded to </w:t>
      </w:r>
      <w:proofErr w:type="spellStart"/>
      <w:r w:rsidRPr="000B32F4">
        <w:rPr>
          <w:rFonts w:asciiTheme="minorHAnsi" w:eastAsiaTheme="minorHAnsi" w:hAnsiTheme="minorHAnsi" w:cstheme="minorHAnsi"/>
          <w:color w:val="000000"/>
        </w:rPr>
        <w:t>Tycheros</w:t>
      </w:r>
      <w:proofErr w:type="spellEnd"/>
      <w:r w:rsidRPr="000B32F4">
        <w:rPr>
          <w:rFonts w:asciiTheme="minorHAnsi" w:eastAsiaTheme="minorHAnsi" w:hAnsiTheme="minorHAnsi" w:cstheme="minorHAnsi"/>
          <w:color w:val="000000"/>
        </w:rPr>
        <w:t xml:space="preserve"> Capital Management VI, Inc., in accordance</w:t>
      </w:r>
      <w:r w:rsidR="00326BCD">
        <w:rPr>
          <w:rFonts w:asciiTheme="minorHAnsi" w:eastAsiaTheme="minorHAnsi" w:hAnsiTheme="minorHAnsi" w:cstheme="minorHAnsi"/>
          <w:color w:val="000000"/>
        </w:rPr>
        <w:t xml:space="preserve"> </w:t>
      </w:r>
      <w:r w:rsidRPr="000B32F4">
        <w:rPr>
          <w:rFonts w:asciiTheme="minorHAnsi" w:eastAsiaTheme="minorHAnsi" w:hAnsiTheme="minorHAnsi" w:cstheme="minorHAnsi"/>
          <w:color w:val="000000"/>
        </w:rPr>
        <w:t>with 29 V.I. C. §. 714(c) and are not subsidiaries of the corporation.</w:t>
      </w:r>
    </w:p>
    <w:p w:rsidR="000B32F4" w:rsidRPr="00F8138D" w:rsidRDefault="000B32F4" w:rsidP="00326BCD">
      <w:pPr>
        <w:pStyle w:val="ListParagraph"/>
        <w:autoSpaceDE w:val="0"/>
        <w:autoSpaceDN w:val="0"/>
        <w:adjustRightInd w:val="0"/>
        <w:spacing w:after="262"/>
        <w:ind w:left="2520"/>
        <w:jc w:val="both"/>
        <w:rPr>
          <w:rFonts w:asciiTheme="minorHAnsi" w:eastAsiaTheme="minorHAnsi" w:hAnsiTheme="minorHAnsi" w:cstheme="minorHAnsi"/>
          <w:color w:val="000000"/>
          <w:sz w:val="12"/>
          <w:szCs w:val="12"/>
        </w:rPr>
      </w:pPr>
    </w:p>
    <w:p w:rsidR="000B32F4" w:rsidRDefault="00AD4500" w:rsidP="00326BCD">
      <w:pPr>
        <w:pStyle w:val="ListParagraph"/>
        <w:numPr>
          <w:ilvl w:val="0"/>
          <w:numId w:val="31"/>
        </w:numPr>
        <w:autoSpaceDE w:val="0"/>
        <w:autoSpaceDN w:val="0"/>
        <w:adjustRightInd w:val="0"/>
        <w:spacing w:after="262"/>
        <w:jc w:val="both"/>
        <w:rPr>
          <w:rFonts w:asciiTheme="minorHAnsi" w:eastAsiaTheme="minorHAnsi" w:hAnsiTheme="minorHAnsi" w:cstheme="minorHAnsi"/>
          <w:color w:val="000000"/>
        </w:rPr>
      </w:pPr>
      <w:r w:rsidRPr="000B32F4">
        <w:rPr>
          <w:rFonts w:asciiTheme="minorHAnsi" w:eastAsiaTheme="minorHAnsi" w:hAnsiTheme="minorHAnsi" w:cstheme="minorHAnsi"/>
          <w:color w:val="000000"/>
        </w:rPr>
        <w:t xml:space="preserve">PRD </w:t>
      </w:r>
      <w:r w:rsidR="00326BCD">
        <w:rPr>
          <w:rFonts w:asciiTheme="minorHAnsi" w:eastAsiaTheme="minorHAnsi" w:hAnsiTheme="minorHAnsi" w:cstheme="minorHAnsi"/>
          <w:color w:val="000000"/>
        </w:rPr>
        <w:t xml:space="preserve">20 VI, LLC and, SAD 20 VI, LLC </w:t>
      </w:r>
      <w:r w:rsidRPr="000B32F4">
        <w:rPr>
          <w:rFonts w:asciiTheme="minorHAnsi" w:eastAsiaTheme="minorHAnsi" w:hAnsiTheme="minorHAnsi" w:cstheme="minorHAnsi"/>
          <w:color w:val="000000"/>
        </w:rPr>
        <w:t>serves as “temporary holding companies”, and</w:t>
      </w:r>
      <w:r w:rsidR="00326BCD">
        <w:rPr>
          <w:rFonts w:asciiTheme="minorHAnsi" w:eastAsiaTheme="minorHAnsi" w:hAnsiTheme="minorHAnsi" w:cstheme="minorHAnsi"/>
          <w:color w:val="000000"/>
        </w:rPr>
        <w:t xml:space="preserve"> </w:t>
      </w:r>
      <w:r w:rsidRPr="000B32F4">
        <w:rPr>
          <w:rFonts w:asciiTheme="minorHAnsi" w:eastAsiaTheme="minorHAnsi" w:hAnsiTheme="minorHAnsi" w:cstheme="minorHAnsi"/>
          <w:color w:val="000000"/>
        </w:rPr>
        <w:t xml:space="preserve">currently "hold a significant investment in a </w:t>
      </w:r>
      <w:r w:rsidRPr="000B32F4">
        <w:rPr>
          <w:rFonts w:asciiTheme="minorHAnsi" w:eastAsiaTheme="minorHAnsi" w:hAnsiTheme="minorHAnsi" w:cstheme="minorHAnsi"/>
          <w:color w:val="000000"/>
        </w:rPr>
        <w:lastRenderedPageBreak/>
        <w:t>corporation". The limited liability companies</w:t>
      </w:r>
      <w:r w:rsidR="00326BCD">
        <w:rPr>
          <w:rFonts w:asciiTheme="minorHAnsi" w:eastAsiaTheme="minorHAnsi" w:hAnsiTheme="minorHAnsi" w:cstheme="minorHAnsi"/>
          <w:color w:val="000000"/>
        </w:rPr>
        <w:t xml:space="preserve"> </w:t>
      </w:r>
      <w:r w:rsidRPr="000B32F4">
        <w:rPr>
          <w:rFonts w:asciiTheme="minorHAnsi" w:eastAsiaTheme="minorHAnsi" w:hAnsiTheme="minorHAnsi" w:cstheme="minorHAnsi"/>
          <w:color w:val="000000"/>
        </w:rPr>
        <w:t>will have no employees and conduct no business in the U.S. Virgin Islands.</w:t>
      </w:r>
    </w:p>
    <w:p w:rsidR="000B32F4" w:rsidRPr="00F8138D" w:rsidRDefault="000B32F4" w:rsidP="00326BCD">
      <w:pPr>
        <w:pStyle w:val="ListParagraph"/>
        <w:jc w:val="both"/>
        <w:rPr>
          <w:rFonts w:asciiTheme="minorHAnsi" w:eastAsiaTheme="minorHAnsi" w:hAnsiTheme="minorHAnsi" w:cstheme="minorHAnsi"/>
          <w:color w:val="000000"/>
          <w:sz w:val="12"/>
          <w:szCs w:val="12"/>
        </w:rPr>
      </w:pPr>
    </w:p>
    <w:p w:rsidR="004F6BE6" w:rsidRPr="004F6BE6" w:rsidRDefault="00AD4500" w:rsidP="004F6BE6">
      <w:pPr>
        <w:pStyle w:val="ListParagraph"/>
        <w:numPr>
          <w:ilvl w:val="0"/>
          <w:numId w:val="31"/>
        </w:numPr>
        <w:autoSpaceDE w:val="0"/>
        <w:autoSpaceDN w:val="0"/>
        <w:adjustRightInd w:val="0"/>
        <w:spacing w:after="262"/>
        <w:jc w:val="both"/>
        <w:rPr>
          <w:rFonts w:asciiTheme="minorHAnsi" w:eastAsiaTheme="minorHAnsi" w:hAnsiTheme="minorHAnsi" w:cstheme="minorHAnsi"/>
          <w:color w:val="000000"/>
        </w:rPr>
      </w:pPr>
      <w:r w:rsidRPr="000B32F4">
        <w:rPr>
          <w:rFonts w:asciiTheme="minorHAnsi" w:eastAsiaTheme="minorHAnsi" w:hAnsiTheme="minorHAnsi" w:cstheme="minorHAnsi"/>
          <w:color w:val="000000"/>
        </w:rPr>
        <w:t>Liquid Capital, LP and Illiquid Capital, LP are currently not registered with the Virgin</w:t>
      </w:r>
      <w:r w:rsidR="00326BCD">
        <w:rPr>
          <w:rFonts w:asciiTheme="minorHAnsi" w:eastAsiaTheme="minorHAnsi" w:hAnsiTheme="minorHAnsi" w:cstheme="minorHAnsi"/>
          <w:color w:val="000000"/>
        </w:rPr>
        <w:t xml:space="preserve"> </w:t>
      </w:r>
      <w:r w:rsidRPr="000B32F4">
        <w:rPr>
          <w:rFonts w:asciiTheme="minorHAnsi" w:eastAsiaTheme="minorHAnsi" w:hAnsiTheme="minorHAnsi" w:cstheme="minorHAnsi"/>
          <w:color w:val="000000"/>
        </w:rPr>
        <w:t xml:space="preserve">Islands Office of Lieutenant Governor, Division of Corporations and Trademark, and </w:t>
      </w:r>
      <w:r w:rsidR="00326BCD">
        <w:rPr>
          <w:rFonts w:asciiTheme="minorHAnsi" w:eastAsiaTheme="minorHAnsi" w:hAnsiTheme="minorHAnsi" w:cstheme="minorHAnsi"/>
          <w:color w:val="000000"/>
        </w:rPr>
        <w:t xml:space="preserve">it is </w:t>
      </w:r>
      <w:r w:rsidRPr="000B32F4">
        <w:rPr>
          <w:rFonts w:asciiTheme="minorHAnsi" w:eastAsiaTheme="minorHAnsi" w:hAnsiTheme="minorHAnsi" w:cstheme="minorHAnsi"/>
          <w:color w:val="000000"/>
        </w:rPr>
        <w:t>not clear how the limited partnerships would generate income which would be sourced in</w:t>
      </w:r>
      <w:r w:rsidR="00326BCD">
        <w:rPr>
          <w:rFonts w:asciiTheme="minorHAnsi" w:eastAsiaTheme="minorHAnsi" w:hAnsiTheme="minorHAnsi" w:cstheme="minorHAnsi"/>
          <w:color w:val="000000"/>
        </w:rPr>
        <w:t xml:space="preserve"> </w:t>
      </w:r>
      <w:r w:rsidRPr="000B32F4">
        <w:rPr>
          <w:rFonts w:asciiTheme="minorHAnsi" w:eastAsiaTheme="minorHAnsi" w:hAnsiTheme="minorHAnsi" w:cstheme="minorHAnsi"/>
          <w:color w:val="000000"/>
        </w:rPr>
        <w:t>or effectively connected with the conduct of a trade or business within the U.S. Virgin</w:t>
      </w:r>
      <w:r w:rsidR="00326BCD">
        <w:rPr>
          <w:rFonts w:asciiTheme="minorHAnsi" w:eastAsiaTheme="minorHAnsi" w:hAnsiTheme="minorHAnsi" w:cstheme="minorHAnsi"/>
          <w:color w:val="000000"/>
        </w:rPr>
        <w:t xml:space="preserve"> </w:t>
      </w:r>
      <w:r w:rsidRPr="000B32F4">
        <w:rPr>
          <w:rFonts w:asciiTheme="minorHAnsi" w:eastAsiaTheme="minorHAnsi" w:hAnsiTheme="minorHAnsi" w:cstheme="minorHAnsi"/>
          <w:color w:val="000000"/>
        </w:rPr>
        <w:t>Islands under the sourcing rules in sections 861 through 865 of the Internal Revenue</w:t>
      </w:r>
      <w:r w:rsidR="00326BCD">
        <w:rPr>
          <w:rFonts w:asciiTheme="minorHAnsi" w:eastAsiaTheme="minorHAnsi" w:hAnsiTheme="minorHAnsi" w:cstheme="minorHAnsi"/>
          <w:color w:val="000000"/>
        </w:rPr>
        <w:t xml:space="preserve"> </w:t>
      </w:r>
      <w:r w:rsidRPr="000B32F4">
        <w:rPr>
          <w:rFonts w:asciiTheme="minorHAnsi" w:eastAsiaTheme="minorHAnsi" w:hAnsiTheme="minorHAnsi" w:cstheme="minorHAnsi"/>
          <w:color w:val="000000"/>
        </w:rPr>
        <w:t>Code to be eligible for incentives. Applicant/Beneficiary represented that the limited</w:t>
      </w:r>
      <w:r w:rsidR="00326BCD">
        <w:rPr>
          <w:rFonts w:asciiTheme="minorHAnsi" w:eastAsiaTheme="minorHAnsi" w:hAnsiTheme="minorHAnsi" w:cstheme="minorHAnsi"/>
          <w:color w:val="000000"/>
        </w:rPr>
        <w:t xml:space="preserve"> </w:t>
      </w:r>
      <w:r w:rsidRPr="000B32F4">
        <w:rPr>
          <w:rFonts w:asciiTheme="minorHAnsi" w:eastAsiaTheme="minorHAnsi" w:hAnsiTheme="minorHAnsi" w:cstheme="minorHAnsi"/>
          <w:color w:val="000000"/>
        </w:rPr>
        <w:t>partnerships will be holding companies, do not intend to have any employees and will not</w:t>
      </w:r>
      <w:r w:rsidR="00326BCD">
        <w:rPr>
          <w:rFonts w:asciiTheme="minorHAnsi" w:eastAsiaTheme="minorHAnsi" w:hAnsiTheme="minorHAnsi" w:cstheme="minorHAnsi"/>
          <w:color w:val="000000"/>
        </w:rPr>
        <w:t xml:space="preserve"> </w:t>
      </w:r>
      <w:r w:rsidRPr="000B32F4">
        <w:rPr>
          <w:rFonts w:asciiTheme="minorHAnsi" w:eastAsiaTheme="minorHAnsi" w:hAnsiTheme="minorHAnsi" w:cstheme="minorHAnsi"/>
          <w:color w:val="000000"/>
        </w:rPr>
        <w:t>conduct any business in the U.S. Virgin Islands.</w:t>
      </w:r>
    </w:p>
    <w:p w:rsidR="004F6BE6" w:rsidRPr="0043575A" w:rsidRDefault="004F6BE6" w:rsidP="004F6BE6">
      <w:pPr>
        <w:pStyle w:val="ListParagraph"/>
        <w:autoSpaceDE w:val="0"/>
        <w:autoSpaceDN w:val="0"/>
        <w:adjustRightInd w:val="0"/>
        <w:spacing w:after="262"/>
        <w:ind w:left="2520"/>
        <w:jc w:val="both"/>
        <w:rPr>
          <w:rFonts w:asciiTheme="minorHAnsi" w:eastAsiaTheme="minorHAnsi" w:hAnsiTheme="minorHAnsi" w:cstheme="minorHAnsi"/>
          <w:color w:val="000000"/>
          <w:sz w:val="12"/>
          <w:szCs w:val="12"/>
        </w:rPr>
      </w:pPr>
      <w:bookmarkStart w:id="0" w:name="_GoBack"/>
      <w:bookmarkEnd w:id="0"/>
    </w:p>
    <w:p w:rsidR="00AD4500" w:rsidRPr="004F6BE6" w:rsidRDefault="004F6BE6" w:rsidP="004F6BE6">
      <w:pPr>
        <w:pStyle w:val="ListParagraph"/>
        <w:numPr>
          <w:ilvl w:val="0"/>
          <w:numId w:val="30"/>
        </w:numPr>
        <w:autoSpaceDE w:val="0"/>
        <w:autoSpaceDN w:val="0"/>
        <w:adjustRightInd w:val="0"/>
        <w:jc w:val="both"/>
        <w:rPr>
          <w:rFonts w:asciiTheme="minorHAnsi" w:eastAsiaTheme="minorHAnsi" w:hAnsiTheme="minorHAnsi" w:cstheme="minorHAnsi"/>
          <w:color w:val="000000"/>
        </w:rPr>
      </w:pPr>
      <w:r w:rsidRPr="004F6BE6">
        <w:rPr>
          <w:rFonts w:asciiTheme="minorHAnsi" w:eastAsiaTheme="minorHAnsi" w:hAnsiTheme="minorHAnsi" w:cstheme="minorHAnsi"/>
          <w:bCs/>
          <w:color w:val="000000"/>
        </w:rPr>
        <w:t xml:space="preserve">Notify </w:t>
      </w:r>
      <w:proofErr w:type="spellStart"/>
      <w:r w:rsidRPr="004F6BE6">
        <w:rPr>
          <w:rFonts w:asciiTheme="minorHAnsi" w:eastAsiaTheme="minorHAnsi" w:hAnsiTheme="minorHAnsi" w:cstheme="minorHAnsi"/>
          <w:color w:val="000000"/>
        </w:rPr>
        <w:t>Tycheros</w:t>
      </w:r>
      <w:proofErr w:type="spellEnd"/>
      <w:r w:rsidRPr="004F6BE6">
        <w:rPr>
          <w:rFonts w:asciiTheme="minorHAnsi" w:eastAsiaTheme="minorHAnsi" w:hAnsiTheme="minorHAnsi" w:cstheme="minorHAnsi"/>
          <w:color w:val="000000"/>
        </w:rPr>
        <w:t xml:space="preserve"> Capital Management VI, Inc. </w:t>
      </w:r>
      <w:r w:rsidRPr="004F6BE6">
        <w:rPr>
          <w:rFonts w:asciiTheme="minorHAnsi" w:eastAsiaTheme="minorHAnsi" w:hAnsiTheme="minorHAnsi" w:cstheme="minorHAnsi"/>
          <w:bCs/>
          <w:color w:val="000000"/>
        </w:rPr>
        <w:t xml:space="preserve">that the </w:t>
      </w:r>
      <w:r w:rsidR="007E14EF">
        <w:rPr>
          <w:rFonts w:asciiTheme="minorHAnsi" w:eastAsiaTheme="minorHAnsi" w:hAnsiTheme="minorHAnsi" w:cstheme="minorHAnsi"/>
          <w:color w:val="000000"/>
        </w:rPr>
        <w:t>VIEDC</w:t>
      </w:r>
      <w:r w:rsidR="00AD4500" w:rsidRPr="004F6BE6">
        <w:rPr>
          <w:rFonts w:asciiTheme="minorHAnsi" w:eastAsiaTheme="minorHAnsi" w:hAnsiTheme="minorHAnsi" w:cstheme="minorHAnsi"/>
          <w:color w:val="000000"/>
        </w:rPr>
        <w:t xml:space="preserve"> decision to not include PRD 20 VI, LLC, SAD 20 VI, LLC, Liquid Capital, LP and Illiquid</w:t>
      </w:r>
      <w:r w:rsidRPr="004F6BE6">
        <w:rPr>
          <w:rFonts w:asciiTheme="minorHAnsi" w:eastAsiaTheme="minorHAnsi" w:hAnsiTheme="minorHAnsi" w:cstheme="minorHAnsi"/>
          <w:color w:val="000000"/>
        </w:rPr>
        <w:t xml:space="preserve"> </w:t>
      </w:r>
      <w:r w:rsidR="00AD4500" w:rsidRPr="004F6BE6">
        <w:rPr>
          <w:rFonts w:asciiTheme="minorHAnsi" w:eastAsiaTheme="minorHAnsi" w:hAnsiTheme="minorHAnsi" w:cstheme="minorHAnsi"/>
          <w:color w:val="000000"/>
        </w:rPr>
        <w:t xml:space="preserve">Capital, LP as a Beneficiary </w:t>
      </w:r>
      <w:r w:rsidR="007E14EF">
        <w:rPr>
          <w:rFonts w:asciiTheme="minorHAnsi" w:eastAsiaTheme="minorHAnsi" w:hAnsiTheme="minorHAnsi" w:cstheme="minorHAnsi"/>
          <w:color w:val="000000"/>
        </w:rPr>
        <w:t xml:space="preserve">on </w:t>
      </w:r>
      <w:proofErr w:type="spellStart"/>
      <w:r w:rsidR="007E14EF" w:rsidRPr="004F6BE6">
        <w:rPr>
          <w:rFonts w:asciiTheme="minorHAnsi" w:eastAsiaTheme="minorHAnsi" w:hAnsiTheme="minorHAnsi" w:cstheme="minorHAnsi"/>
          <w:color w:val="000000"/>
        </w:rPr>
        <w:t>Tycheros</w:t>
      </w:r>
      <w:proofErr w:type="spellEnd"/>
      <w:r w:rsidR="007E14EF" w:rsidRPr="004F6BE6">
        <w:rPr>
          <w:rFonts w:asciiTheme="minorHAnsi" w:eastAsiaTheme="minorHAnsi" w:hAnsiTheme="minorHAnsi" w:cstheme="minorHAnsi"/>
          <w:color w:val="000000"/>
        </w:rPr>
        <w:t xml:space="preserve"> Capital Management VI, Inc.</w:t>
      </w:r>
      <w:r w:rsidR="007E14EF">
        <w:rPr>
          <w:rFonts w:asciiTheme="minorHAnsi" w:eastAsiaTheme="minorHAnsi" w:hAnsiTheme="minorHAnsi" w:cstheme="minorHAnsi"/>
          <w:color w:val="000000"/>
        </w:rPr>
        <w:t xml:space="preserve">’s VIEDC Certificate </w:t>
      </w:r>
      <w:r w:rsidR="00AD4500" w:rsidRPr="004F6BE6">
        <w:rPr>
          <w:rFonts w:asciiTheme="minorHAnsi" w:eastAsiaTheme="minorHAnsi" w:hAnsiTheme="minorHAnsi" w:cstheme="minorHAnsi"/>
          <w:color w:val="000000"/>
        </w:rPr>
        <w:t xml:space="preserve">does not preclude </w:t>
      </w:r>
      <w:proofErr w:type="spellStart"/>
      <w:r w:rsidR="007E14EF" w:rsidRPr="004F6BE6">
        <w:rPr>
          <w:rFonts w:asciiTheme="minorHAnsi" w:eastAsiaTheme="minorHAnsi" w:hAnsiTheme="minorHAnsi" w:cstheme="minorHAnsi"/>
          <w:color w:val="000000"/>
        </w:rPr>
        <w:t>Tycheros</w:t>
      </w:r>
      <w:proofErr w:type="spellEnd"/>
      <w:r w:rsidR="007E14EF" w:rsidRPr="004F6BE6">
        <w:rPr>
          <w:rFonts w:asciiTheme="minorHAnsi" w:eastAsiaTheme="minorHAnsi" w:hAnsiTheme="minorHAnsi" w:cstheme="minorHAnsi"/>
          <w:color w:val="000000"/>
        </w:rPr>
        <w:t xml:space="preserve"> Capital Management VI, Inc. </w:t>
      </w:r>
      <w:r w:rsidR="00AD4500" w:rsidRPr="004F6BE6">
        <w:rPr>
          <w:rFonts w:asciiTheme="minorHAnsi" w:eastAsiaTheme="minorHAnsi" w:hAnsiTheme="minorHAnsi" w:cstheme="minorHAnsi"/>
          <w:color w:val="000000"/>
        </w:rPr>
        <w:t>from providing services to or managing the</w:t>
      </w:r>
      <w:r w:rsidRPr="004F6BE6">
        <w:rPr>
          <w:rFonts w:asciiTheme="minorHAnsi" w:eastAsiaTheme="minorHAnsi" w:hAnsiTheme="minorHAnsi" w:cstheme="minorHAnsi"/>
          <w:color w:val="000000"/>
        </w:rPr>
        <w:t xml:space="preserve"> </w:t>
      </w:r>
      <w:r w:rsidR="00AD4500" w:rsidRPr="004F6BE6">
        <w:rPr>
          <w:rFonts w:asciiTheme="minorHAnsi" w:eastAsiaTheme="minorHAnsi" w:hAnsiTheme="minorHAnsi" w:cstheme="minorHAnsi"/>
          <w:color w:val="000000"/>
        </w:rPr>
        <w:t xml:space="preserve">funds of these businesses or </w:t>
      </w:r>
      <w:r w:rsidR="004D5C22">
        <w:rPr>
          <w:rFonts w:asciiTheme="minorHAnsi" w:eastAsiaTheme="minorHAnsi" w:hAnsiTheme="minorHAnsi" w:cstheme="minorHAnsi"/>
          <w:color w:val="000000"/>
        </w:rPr>
        <w:t>their</w:t>
      </w:r>
      <w:r w:rsidR="00AD4500" w:rsidRPr="004F6BE6">
        <w:rPr>
          <w:rFonts w:asciiTheme="minorHAnsi" w:eastAsiaTheme="minorHAnsi" w:hAnsiTheme="minorHAnsi" w:cstheme="minorHAnsi"/>
          <w:color w:val="000000"/>
        </w:rPr>
        <w:t xml:space="preserve"> owners as part of its Family Office operations.</w:t>
      </w:r>
    </w:p>
    <w:p w:rsidR="00AD4500" w:rsidRPr="00AD4500" w:rsidRDefault="00AD4500" w:rsidP="00326BCD">
      <w:pPr>
        <w:autoSpaceDE w:val="0"/>
        <w:autoSpaceDN w:val="0"/>
        <w:adjustRightInd w:val="0"/>
        <w:jc w:val="both"/>
        <w:rPr>
          <w:rFonts w:asciiTheme="minorHAnsi" w:eastAsiaTheme="minorHAnsi" w:hAnsiTheme="minorHAnsi" w:cstheme="minorHAnsi"/>
          <w:color w:val="000000"/>
        </w:rPr>
      </w:pPr>
    </w:p>
    <w:p w:rsidR="00476084" w:rsidRPr="00476084" w:rsidRDefault="00476084" w:rsidP="00326BCD">
      <w:pPr>
        <w:contextualSpacing/>
        <w:jc w:val="both"/>
        <w:rPr>
          <w:rFonts w:asciiTheme="minorHAnsi" w:eastAsiaTheme="minorHAnsi" w:hAnsiTheme="minorHAnsi" w:cstheme="minorHAnsi"/>
          <w:color w:val="000000"/>
        </w:rPr>
      </w:pPr>
    </w:p>
    <w:sectPr w:rsidR="00476084" w:rsidRPr="00476084">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324" w:rsidRDefault="00101324" w:rsidP="005B1A21">
      <w:r>
        <w:separator/>
      </w:r>
    </w:p>
  </w:endnote>
  <w:endnote w:type="continuationSeparator" w:id="0">
    <w:p w:rsidR="00101324" w:rsidRDefault="00101324" w:rsidP="005B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504118"/>
      <w:docPartObj>
        <w:docPartGallery w:val="Page Numbers (Bottom of Page)"/>
        <w:docPartUnique/>
      </w:docPartObj>
    </w:sdtPr>
    <w:sdtEndPr>
      <w:rPr>
        <w:noProof/>
      </w:rPr>
    </w:sdtEndPr>
    <w:sdtContent>
      <w:p w:rsidR="008A1E7F" w:rsidRDefault="008A1E7F">
        <w:pPr>
          <w:pStyle w:val="Footer"/>
          <w:jc w:val="center"/>
        </w:pPr>
        <w:r>
          <w:fldChar w:fldCharType="begin"/>
        </w:r>
        <w:r>
          <w:instrText xml:space="preserve"> PAGE   \* MERGEFORMAT </w:instrText>
        </w:r>
        <w:r>
          <w:fldChar w:fldCharType="separate"/>
        </w:r>
        <w:r w:rsidR="00F8138D">
          <w:rPr>
            <w:noProof/>
          </w:rPr>
          <w:t>4</w:t>
        </w:r>
        <w:r>
          <w:rPr>
            <w:noProof/>
          </w:rPr>
          <w:fldChar w:fldCharType="end"/>
        </w:r>
      </w:p>
    </w:sdtContent>
  </w:sdt>
  <w:p w:rsidR="008A1E7F" w:rsidRDefault="008A1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324" w:rsidRDefault="00101324" w:rsidP="005B1A21">
      <w:r>
        <w:separator/>
      </w:r>
    </w:p>
  </w:footnote>
  <w:footnote w:type="continuationSeparator" w:id="0">
    <w:p w:rsidR="00101324" w:rsidRDefault="00101324" w:rsidP="005B1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3EE"/>
    <w:multiLevelType w:val="hybridMultilevel"/>
    <w:tmpl w:val="7A06A98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09E5188"/>
    <w:multiLevelType w:val="hybridMultilevel"/>
    <w:tmpl w:val="C2B2A4FE"/>
    <w:lvl w:ilvl="0" w:tplc="40D473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095A6A"/>
    <w:multiLevelType w:val="hybridMultilevel"/>
    <w:tmpl w:val="86AC024C"/>
    <w:lvl w:ilvl="0" w:tplc="16C86240">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0A5350E6"/>
    <w:multiLevelType w:val="hybridMultilevel"/>
    <w:tmpl w:val="9B520AC6"/>
    <w:lvl w:ilvl="0" w:tplc="12803A04">
      <w:start w:val="1"/>
      <w:numFmt w:val="decimal"/>
      <w:lvlText w:val="%1."/>
      <w:lvlJc w:val="left"/>
      <w:pPr>
        <w:ind w:left="1080" w:hanging="360"/>
      </w:pPr>
      <w:rPr>
        <w:rFonts w:asciiTheme="minorHAnsi" w:eastAsia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F067C"/>
    <w:multiLevelType w:val="hybridMultilevel"/>
    <w:tmpl w:val="E0EE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F73F7"/>
    <w:multiLevelType w:val="hybridMultilevel"/>
    <w:tmpl w:val="46882A5A"/>
    <w:lvl w:ilvl="0" w:tplc="9B5A6B0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C7150D"/>
    <w:multiLevelType w:val="hybridMultilevel"/>
    <w:tmpl w:val="A6128AA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B7001"/>
    <w:multiLevelType w:val="hybridMultilevel"/>
    <w:tmpl w:val="1E98FFEE"/>
    <w:lvl w:ilvl="0" w:tplc="EFA40C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34DEC"/>
    <w:multiLevelType w:val="hybridMultilevel"/>
    <w:tmpl w:val="AF9468C8"/>
    <w:lvl w:ilvl="0" w:tplc="55D07B30">
      <w:start w:val="1"/>
      <w:numFmt w:val="decimal"/>
      <w:lvlText w:val="%1."/>
      <w:lvlJc w:val="left"/>
      <w:pPr>
        <w:ind w:left="135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4975F9A"/>
    <w:multiLevelType w:val="hybridMultilevel"/>
    <w:tmpl w:val="1520C03C"/>
    <w:lvl w:ilvl="0" w:tplc="E5989B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817CA"/>
    <w:multiLevelType w:val="hybridMultilevel"/>
    <w:tmpl w:val="EBD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859BF"/>
    <w:multiLevelType w:val="hybridMultilevel"/>
    <w:tmpl w:val="FDECFC74"/>
    <w:lvl w:ilvl="0" w:tplc="F3FCC21E">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2E5E00"/>
    <w:multiLevelType w:val="hybridMultilevel"/>
    <w:tmpl w:val="E9D63C68"/>
    <w:lvl w:ilvl="0" w:tplc="4B7C6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5B618C"/>
    <w:multiLevelType w:val="hybridMultilevel"/>
    <w:tmpl w:val="74FEC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F027A"/>
    <w:multiLevelType w:val="hybridMultilevel"/>
    <w:tmpl w:val="F1D65F9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8C7EBE"/>
    <w:multiLevelType w:val="hybridMultilevel"/>
    <w:tmpl w:val="F91C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654F1"/>
    <w:multiLevelType w:val="hybridMultilevel"/>
    <w:tmpl w:val="4146AF84"/>
    <w:lvl w:ilvl="0" w:tplc="5E66C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073FD9"/>
    <w:multiLevelType w:val="hybridMultilevel"/>
    <w:tmpl w:val="49909026"/>
    <w:lvl w:ilvl="0" w:tplc="6F360BDA">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D2353A"/>
    <w:multiLevelType w:val="hybridMultilevel"/>
    <w:tmpl w:val="9BF807CA"/>
    <w:lvl w:ilvl="0" w:tplc="2EACDC8A">
      <w:start w:val="1"/>
      <w:numFmt w:val="decimal"/>
      <w:lvlText w:val="%1."/>
      <w:lvlJc w:val="left"/>
      <w:pPr>
        <w:ind w:left="1080" w:hanging="360"/>
      </w:pPr>
      <w:rPr>
        <w:rFonts w:asciiTheme="minorHAnsi" w:eastAsiaTheme="minorHAnsi" w:hAnsiTheme="minorHAnsi" w:cstheme="minorHAnsi"/>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FFEA7D62">
      <w:start w:val="1"/>
      <w:numFmt w:val="decimal"/>
      <w:lvlText w:val="%4."/>
      <w:lvlJc w:val="left"/>
      <w:pPr>
        <w:ind w:left="10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9C4EA4"/>
    <w:multiLevelType w:val="hybridMultilevel"/>
    <w:tmpl w:val="014C1370"/>
    <w:lvl w:ilvl="0" w:tplc="1FF2CC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0A64849"/>
    <w:multiLevelType w:val="hybridMultilevel"/>
    <w:tmpl w:val="55C83806"/>
    <w:lvl w:ilvl="0" w:tplc="0409000F">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102606"/>
    <w:multiLevelType w:val="hybridMultilevel"/>
    <w:tmpl w:val="EF6EFCB2"/>
    <w:lvl w:ilvl="0" w:tplc="6A689FE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E1B74"/>
    <w:multiLevelType w:val="hybridMultilevel"/>
    <w:tmpl w:val="E9228362"/>
    <w:lvl w:ilvl="0" w:tplc="5E66C7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BE0B38"/>
    <w:multiLevelType w:val="hybridMultilevel"/>
    <w:tmpl w:val="34EEE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F3070C"/>
    <w:multiLevelType w:val="hybridMultilevel"/>
    <w:tmpl w:val="BE00B9DE"/>
    <w:lvl w:ilvl="0" w:tplc="5E8452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108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F30637"/>
    <w:multiLevelType w:val="hybridMultilevel"/>
    <w:tmpl w:val="7BE2F7D4"/>
    <w:lvl w:ilvl="0" w:tplc="E3B66C9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0165CEE"/>
    <w:multiLevelType w:val="hybridMultilevel"/>
    <w:tmpl w:val="48EAC2C8"/>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4A15D0"/>
    <w:multiLevelType w:val="hybridMultilevel"/>
    <w:tmpl w:val="EC2620E0"/>
    <w:lvl w:ilvl="0" w:tplc="CBCE575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940B29"/>
    <w:multiLevelType w:val="hybridMultilevel"/>
    <w:tmpl w:val="E16684C8"/>
    <w:lvl w:ilvl="0" w:tplc="7A6CEE2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8954A11"/>
    <w:multiLevelType w:val="hybridMultilevel"/>
    <w:tmpl w:val="262481B4"/>
    <w:lvl w:ilvl="0" w:tplc="221AA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3A01EB"/>
    <w:multiLevelType w:val="hybridMultilevel"/>
    <w:tmpl w:val="9D9A9E7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7"/>
  </w:num>
  <w:num w:numId="3">
    <w:abstractNumId w:val="17"/>
  </w:num>
  <w:num w:numId="4">
    <w:abstractNumId w:val="21"/>
  </w:num>
  <w:num w:numId="5">
    <w:abstractNumId w:val="26"/>
  </w:num>
  <w:num w:numId="6">
    <w:abstractNumId w:val="18"/>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0"/>
  </w:num>
  <w:num w:numId="11">
    <w:abstractNumId w:val="13"/>
  </w:num>
  <w:num w:numId="12">
    <w:abstractNumId w:val="15"/>
  </w:num>
  <w:num w:numId="13">
    <w:abstractNumId w:val="4"/>
  </w:num>
  <w:num w:numId="14">
    <w:abstractNumId w:val="11"/>
  </w:num>
  <w:num w:numId="15">
    <w:abstractNumId w:val="2"/>
  </w:num>
  <w:num w:numId="16">
    <w:abstractNumId w:val="24"/>
  </w:num>
  <w:num w:numId="17">
    <w:abstractNumId w:val="14"/>
  </w:num>
  <w:num w:numId="18">
    <w:abstractNumId w:val="25"/>
  </w:num>
  <w:num w:numId="19">
    <w:abstractNumId w:val="5"/>
  </w:num>
  <w:num w:numId="20">
    <w:abstractNumId w:val="19"/>
  </w:num>
  <w:num w:numId="21">
    <w:abstractNumId w:val="23"/>
  </w:num>
  <w:num w:numId="22">
    <w:abstractNumId w:val="1"/>
  </w:num>
  <w:num w:numId="23">
    <w:abstractNumId w:val="22"/>
  </w:num>
  <w:num w:numId="24">
    <w:abstractNumId w:val="16"/>
  </w:num>
  <w:num w:numId="25">
    <w:abstractNumId w:val="3"/>
  </w:num>
  <w:num w:numId="26">
    <w:abstractNumId w:val="9"/>
  </w:num>
  <w:num w:numId="27">
    <w:abstractNumId w:val="8"/>
  </w:num>
  <w:num w:numId="28">
    <w:abstractNumId w:val="7"/>
  </w:num>
  <w:num w:numId="29">
    <w:abstractNumId w:val="29"/>
  </w:num>
  <w:num w:numId="30">
    <w:abstractNumId w:val="12"/>
  </w:num>
  <w:num w:numId="3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21"/>
    <w:rsid w:val="00007875"/>
    <w:rsid w:val="00010817"/>
    <w:rsid w:val="00012573"/>
    <w:rsid w:val="00012E01"/>
    <w:rsid w:val="000163B2"/>
    <w:rsid w:val="00016739"/>
    <w:rsid w:val="00016D8E"/>
    <w:rsid w:val="00023EF7"/>
    <w:rsid w:val="00031238"/>
    <w:rsid w:val="000348FF"/>
    <w:rsid w:val="00040381"/>
    <w:rsid w:val="000424D1"/>
    <w:rsid w:val="00042635"/>
    <w:rsid w:val="00042D18"/>
    <w:rsid w:val="00042FF4"/>
    <w:rsid w:val="0004426E"/>
    <w:rsid w:val="00044D7C"/>
    <w:rsid w:val="0005007C"/>
    <w:rsid w:val="00051861"/>
    <w:rsid w:val="00052542"/>
    <w:rsid w:val="00052D80"/>
    <w:rsid w:val="000530AD"/>
    <w:rsid w:val="00054CC4"/>
    <w:rsid w:val="000550D7"/>
    <w:rsid w:val="000577B7"/>
    <w:rsid w:val="00057BDA"/>
    <w:rsid w:val="00061B2B"/>
    <w:rsid w:val="0006404A"/>
    <w:rsid w:val="00064402"/>
    <w:rsid w:val="00065176"/>
    <w:rsid w:val="000709FF"/>
    <w:rsid w:val="0007186C"/>
    <w:rsid w:val="00071939"/>
    <w:rsid w:val="00073354"/>
    <w:rsid w:val="00074132"/>
    <w:rsid w:val="00075DE5"/>
    <w:rsid w:val="000835CE"/>
    <w:rsid w:val="00084A51"/>
    <w:rsid w:val="000941BC"/>
    <w:rsid w:val="00097A0E"/>
    <w:rsid w:val="000A0F82"/>
    <w:rsid w:val="000B070E"/>
    <w:rsid w:val="000B32F4"/>
    <w:rsid w:val="000B4125"/>
    <w:rsid w:val="000D033F"/>
    <w:rsid w:val="000D44A1"/>
    <w:rsid w:val="000E64B8"/>
    <w:rsid w:val="000F066E"/>
    <w:rsid w:val="00101324"/>
    <w:rsid w:val="001065B3"/>
    <w:rsid w:val="001078E9"/>
    <w:rsid w:val="00110AF5"/>
    <w:rsid w:val="00110F3A"/>
    <w:rsid w:val="001117B7"/>
    <w:rsid w:val="00120AE6"/>
    <w:rsid w:val="001228C0"/>
    <w:rsid w:val="00135378"/>
    <w:rsid w:val="0015145C"/>
    <w:rsid w:val="001519ED"/>
    <w:rsid w:val="00151EA0"/>
    <w:rsid w:val="00152C1B"/>
    <w:rsid w:val="00153BDC"/>
    <w:rsid w:val="00163BF3"/>
    <w:rsid w:val="00164495"/>
    <w:rsid w:val="00165A89"/>
    <w:rsid w:val="00173EA9"/>
    <w:rsid w:val="00177D12"/>
    <w:rsid w:val="00183AE2"/>
    <w:rsid w:val="00185E36"/>
    <w:rsid w:val="00186A83"/>
    <w:rsid w:val="0019304B"/>
    <w:rsid w:val="001968D7"/>
    <w:rsid w:val="00197B57"/>
    <w:rsid w:val="001B1574"/>
    <w:rsid w:val="001B6B4D"/>
    <w:rsid w:val="001B6D5E"/>
    <w:rsid w:val="001B7D26"/>
    <w:rsid w:val="001B7E97"/>
    <w:rsid w:val="001C1D1F"/>
    <w:rsid w:val="001C27F5"/>
    <w:rsid w:val="001C38E7"/>
    <w:rsid w:val="001C62DF"/>
    <w:rsid w:val="001D0A25"/>
    <w:rsid w:val="001D1256"/>
    <w:rsid w:val="001D3ECA"/>
    <w:rsid w:val="001D5C99"/>
    <w:rsid w:val="001E5C83"/>
    <w:rsid w:val="001E64C5"/>
    <w:rsid w:val="001F38BD"/>
    <w:rsid w:val="001F462D"/>
    <w:rsid w:val="001F4E36"/>
    <w:rsid w:val="001F788A"/>
    <w:rsid w:val="00205AF5"/>
    <w:rsid w:val="0020602B"/>
    <w:rsid w:val="0021189A"/>
    <w:rsid w:val="0021267A"/>
    <w:rsid w:val="002153E9"/>
    <w:rsid w:val="00217A62"/>
    <w:rsid w:val="0022162F"/>
    <w:rsid w:val="00221735"/>
    <w:rsid w:val="00221D99"/>
    <w:rsid w:val="00227A61"/>
    <w:rsid w:val="0025566C"/>
    <w:rsid w:val="00256DC2"/>
    <w:rsid w:val="002570EA"/>
    <w:rsid w:val="00267A21"/>
    <w:rsid w:val="002769AF"/>
    <w:rsid w:val="0028357D"/>
    <w:rsid w:val="0028360D"/>
    <w:rsid w:val="00284174"/>
    <w:rsid w:val="002939C1"/>
    <w:rsid w:val="00295C8B"/>
    <w:rsid w:val="002A12F9"/>
    <w:rsid w:val="002A1810"/>
    <w:rsid w:val="002A3324"/>
    <w:rsid w:val="002B0BC5"/>
    <w:rsid w:val="002B15CF"/>
    <w:rsid w:val="002B7F72"/>
    <w:rsid w:val="002C0B89"/>
    <w:rsid w:val="002C4C1D"/>
    <w:rsid w:val="002C5511"/>
    <w:rsid w:val="002C6210"/>
    <w:rsid w:val="002D3047"/>
    <w:rsid w:val="002D3A4A"/>
    <w:rsid w:val="002D4224"/>
    <w:rsid w:val="002D477D"/>
    <w:rsid w:val="002E11C6"/>
    <w:rsid w:val="002E25C5"/>
    <w:rsid w:val="002F5C21"/>
    <w:rsid w:val="00300A64"/>
    <w:rsid w:val="00313FC8"/>
    <w:rsid w:val="003146A5"/>
    <w:rsid w:val="00322E56"/>
    <w:rsid w:val="00326BCD"/>
    <w:rsid w:val="00331107"/>
    <w:rsid w:val="0033382B"/>
    <w:rsid w:val="003339A3"/>
    <w:rsid w:val="00333AEA"/>
    <w:rsid w:val="0033484B"/>
    <w:rsid w:val="003372BE"/>
    <w:rsid w:val="003402FA"/>
    <w:rsid w:val="00350471"/>
    <w:rsid w:val="0035788F"/>
    <w:rsid w:val="0036047A"/>
    <w:rsid w:val="00360ACF"/>
    <w:rsid w:val="00360E4D"/>
    <w:rsid w:val="00362AD2"/>
    <w:rsid w:val="00367951"/>
    <w:rsid w:val="003745E0"/>
    <w:rsid w:val="0037614D"/>
    <w:rsid w:val="003770C8"/>
    <w:rsid w:val="00377176"/>
    <w:rsid w:val="0037735A"/>
    <w:rsid w:val="00386699"/>
    <w:rsid w:val="00387CBF"/>
    <w:rsid w:val="003904AE"/>
    <w:rsid w:val="00390552"/>
    <w:rsid w:val="00393568"/>
    <w:rsid w:val="00394994"/>
    <w:rsid w:val="00396D00"/>
    <w:rsid w:val="003B2B2D"/>
    <w:rsid w:val="003B682E"/>
    <w:rsid w:val="003B7AE4"/>
    <w:rsid w:val="003C0168"/>
    <w:rsid w:val="003C0309"/>
    <w:rsid w:val="003D54A6"/>
    <w:rsid w:val="003E02E3"/>
    <w:rsid w:val="003E061F"/>
    <w:rsid w:val="003E171A"/>
    <w:rsid w:val="003E38C9"/>
    <w:rsid w:val="003E67FE"/>
    <w:rsid w:val="003F6099"/>
    <w:rsid w:val="0040082D"/>
    <w:rsid w:val="00401D0C"/>
    <w:rsid w:val="004037A1"/>
    <w:rsid w:val="00404507"/>
    <w:rsid w:val="00411B41"/>
    <w:rsid w:val="00425F02"/>
    <w:rsid w:val="004260CC"/>
    <w:rsid w:val="00431CBA"/>
    <w:rsid w:val="004356EE"/>
    <w:rsid w:val="0043575A"/>
    <w:rsid w:val="00436508"/>
    <w:rsid w:val="00440743"/>
    <w:rsid w:val="00446F3E"/>
    <w:rsid w:val="00447B08"/>
    <w:rsid w:val="00447E4E"/>
    <w:rsid w:val="00451F2F"/>
    <w:rsid w:val="00454D21"/>
    <w:rsid w:val="00455789"/>
    <w:rsid w:val="00465A30"/>
    <w:rsid w:val="00471F19"/>
    <w:rsid w:val="00476084"/>
    <w:rsid w:val="0047689E"/>
    <w:rsid w:val="00480DF8"/>
    <w:rsid w:val="00480E79"/>
    <w:rsid w:val="004836C0"/>
    <w:rsid w:val="00485257"/>
    <w:rsid w:val="00485F4C"/>
    <w:rsid w:val="0048623F"/>
    <w:rsid w:val="00486617"/>
    <w:rsid w:val="00487A85"/>
    <w:rsid w:val="0049240F"/>
    <w:rsid w:val="00493DF1"/>
    <w:rsid w:val="00494298"/>
    <w:rsid w:val="004A3E59"/>
    <w:rsid w:val="004A4780"/>
    <w:rsid w:val="004A5DB9"/>
    <w:rsid w:val="004A6D7C"/>
    <w:rsid w:val="004C4F37"/>
    <w:rsid w:val="004C6512"/>
    <w:rsid w:val="004D1A90"/>
    <w:rsid w:val="004D22B9"/>
    <w:rsid w:val="004D28EA"/>
    <w:rsid w:val="004D595A"/>
    <w:rsid w:val="004D5C22"/>
    <w:rsid w:val="004D6F8A"/>
    <w:rsid w:val="004E7188"/>
    <w:rsid w:val="004E722E"/>
    <w:rsid w:val="004F02E9"/>
    <w:rsid w:val="004F07B3"/>
    <w:rsid w:val="004F3985"/>
    <w:rsid w:val="004F6BE6"/>
    <w:rsid w:val="004F7680"/>
    <w:rsid w:val="005124A4"/>
    <w:rsid w:val="0051285D"/>
    <w:rsid w:val="005135F4"/>
    <w:rsid w:val="005140C7"/>
    <w:rsid w:val="005224EE"/>
    <w:rsid w:val="00522547"/>
    <w:rsid w:val="00522E33"/>
    <w:rsid w:val="00524F33"/>
    <w:rsid w:val="00525B3F"/>
    <w:rsid w:val="005334E6"/>
    <w:rsid w:val="00533876"/>
    <w:rsid w:val="0053557E"/>
    <w:rsid w:val="00536FA2"/>
    <w:rsid w:val="005423F3"/>
    <w:rsid w:val="00542C30"/>
    <w:rsid w:val="00543098"/>
    <w:rsid w:val="00550E79"/>
    <w:rsid w:val="00552CCC"/>
    <w:rsid w:val="00553C26"/>
    <w:rsid w:val="00556B53"/>
    <w:rsid w:val="0056047B"/>
    <w:rsid w:val="00561B4C"/>
    <w:rsid w:val="00562969"/>
    <w:rsid w:val="0056328B"/>
    <w:rsid w:val="00565AFE"/>
    <w:rsid w:val="00565C36"/>
    <w:rsid w:val="00567222"/>
    <w:rsid w:val="005705B1"/>
    <w:rsid w:val="00574CCF"/>
    <w:rsid w:val="00577BA8"/>
    <w:rsid w:val="00580BA4"/>
    <w:rsid w:val="0058276D"/>
    <w:rsid w:val="00584378"/>
    <w:rsid w:val="005845FA"/>
    <w:rsid w:val="00587871"/>
    <w:rsid w:val="005A226A"/>
    <w:rsid w:val="005A378A"/>
    <w:rsid w:val="005A6392"/>
    <w:rsid w:val="005B0B61"/>
    <w:rsid w:val="005B1308"/>
    <w:rsid w:val="005B1A21"/>
    <w:rsid w:val="005B26CC"/>
    <w:rsid w:val="005B35E0"/>
    <w:rsid w:val="005B7A99"/>
    <w:rsid w:val="005C60AA"/>
    <w:rsid w:val="005D05B2"/>
    <w:rsid w:val="005D3B6D"/>
    <w:rsid w:val="005D4A82"/>
    <w:rsid w:val="005D7066"/>
    <w:rsid w:val="005E0506"/>
    <w:rsid w:val="005E45B5"/>
    <w:rsid w:val="005E5F7B"/>
    <w:rsid w:val="005E6836"/>
    <w:rsid w:val="005F10E8"/>
    <w:rsid w:val="005F2014"/>
    <w:rsid w:val="005F38F4"/>
    <w:rsid w:val="005F5B8C"/>
    <w:rsid w:val="00604446"/>
    <w:rsid w:val="00606AFC"/>
    <w:rsid w:val="00610C05"/>
    <w:rsid w:val="00612C68"/>
    <w:rsid w:val="00616B1F"/>
    <w:rsid w:val="00616F64"/>
    <w:rsid w:val="0061770B"/>
    <w:rsid w:val="006202F4"/>
    <w:rsid w:val="00624551"/>
    <w:rsid w:val="00626F8B"/>
    <w:rsid w:val="00630CB6"/>
    <w:rsid w:val="00631423"/>
    <w:rsid w:val="006328F5"/>
    <w:rsid w:val="00633027"/>
    <w:rsid w:val="0063404D"/>
    <w:rsid w:val="006358DC"/>
    <w:rsid w:val="00637314"/>
    <w:rsid w:val="0064786D"/>
    <w:rsid w:val="00650CAD"/>
    <w:rsid w:val="00656FB1"/>
    <w:rsid w:val="00663019"/>
    <w:rsid w:val="00663265"/>
    <w:rsid w:val="006715E3"/>
    <w:rsid w:val="0069265C"/>
    <w:rsid w:val="00692778"/>
    <w:rsid w:val="00693371"/>
    <w:rsid w:val="006A1A4D"/>
    <w:rsid w:val="006A33D7"/>
    <w:rsid w:val="006A54C6"/>
    <w:rsid w:val="006A57A4"/>
    <w:rsid w:val="006A6AF9"/>
    <w:rsid w:val="006B042D"/>
    <w:rsid w:val="006B349E"/>
    <w:rsid w:val="006B3C18"/>
    <w:rsid w:val="006B731F"/>
    <w:rsid w:val="006D0AFB"/>
    <w:rsid w:val="006D2D9C"/>
    <w:rsid w:val="006D2E76"/>
    <w:rsid w:val="006D64E5"/>
    <w:rsid w:val="006E54DD"/>
    <w:rsid w:val="006E61EE"/>
    <w:rsid w:val="006E6492"/>
    <w:rsid w:val="006E73D6"/>
    <w:rsid w:val="006F0FB8"/>
    <w:rsid w:val="006F1C4B"/>
    <w:rsid w:val="006F3B84"/>
    <w:rsid w:val="006F723A"/>
    <w:rsid w:val="006F73D9"/>
    <w:rsid w:val="007027EB"/>
    <w:rsid w:val="00702E95"/>
    <w:rsid w:val="00706DA7"/>
    <w:rsid w:val="007118EF"/>
    <w:rsid w:val="00716920"/>
    <w:rsid w:val="00732CEA"/>
    <w:rsid w:val="007339CA"/>
    <w:rsid w:val="00735E7F"/>
    <w:rsid w:val="00737415"/>
    <w:rsid w:val="00737CAC"/>
    <w:rsid w:val="00740210"/>
    <w:rsid w:val="00740480"/>
    <w:rsid w:val="00740959"/>
    <w:rsid w:val="00744FB4"/>
    <w:rsid w:val="00746017"/>
    <w:rsid w:val="00747A5D"/>
    <w:rsid w:val="00750607"/>
    <w:rsid w:val="007666A2"/>
    <w:rsid w:val="00770C9E"/>
    <w:rsid w:val="00787C25"/>
    <w:rsid w:val="0079633A"/>
    <w:rsid w:val="007A640B"/>
    <w:rsid w:val="007B4B66"/>
    <w:rsid w:val="007C5E43"/>
    <w:rsid w:val="007D0415"/>
    <w:rsid w:val="007D20A7"/>
    <w:rsid w:val="007D2609"/>
    <w:rsid w:val="007D2EB3"/>
    <w:rsid w:val="007D5164"/>
    <w:rsid w:val="007E0319"/>
    <w:rsid w:val="007E0A71"/>
    <w:rsid w:val="007E14EF"/>
    <w:rsid w:val="007E2287"/>
    <w:rsid w:val="007E2625"/>
    <w:rsid w:val="007E4376"/>
    <w:rsid w:val="007E71EE"/>
    <w:rsid w:val="007F3472"/>
    <w:rsid w:val="007F47F7"/>
    <w:rsid w:val="007F4C33"/>
    <w:rsid w:val="007F6489"/>
    <w:rsid w:val="008027F1"/>
    <w:rsid w:val="00803834"/>
    <w:rsid w:val="008041B7"/>
    <w:rsid w:val="00805BE5"/>
    <w:rsid w:val="00806C02"/>
    <w:rsid w:val="0080792B"/>
    <w:rsid w:val="008144B6"/>
    <w:rsid w:val="00814CA8"/>
    <w:rsid w:val="00817033"/>
    <w:rsid w:val="00832AEC"/>
    <w:rsid w:val="00837871"/>
    <w:rsid w:val="00840FD6"/>
    <w:rsid w:val="00842441"/>
    <w:rsid w:val="008429B4"/>
    <w:rsid w:val="00847DD6"/>
    <w:rsid w:val="00852696"/>
    <w:rsid w:val="0086016A"/>
    <w:rsid w:val="00866435"/>
    <w:rsid w:val="00880DE7"/>
    <w:rsid w:val="008875EB"/>
    <w:rsid w:val="0089116B"/>
    <w:rsid w:val="00892CBE"/>
    <w:rsid w:val="008944A7"/>
    <w:rsid w:val="008A0514"/>
    <w:rsid w:val="008A067A"/>
    <w:rsid w:val="008A1B3A"/>
    <w:rsid w:val="008A1E7F"/>
    <w:rsid w:val="008A7F6E"/>
    <w:rsid w:val="008C3CFF"/>
    <w:rsid w:val="008C3F9E"/>
    <w:rsid w:val="008C4BC8"/>
    <w:rsid w:val="008C5D4D"/>
    <w:rsid w:val="008C7108"/>
    <w:rsid w:val="008C7857"/>
    <w:rsid w:val="008D703A"/>
    <w:rsid w:val="008E0D4C"/>
    <w:rsid w:val="008E0E0F"/>
    <w:rsid w:val="008E0E46"/>
    <w:rsid w:val="008E3409"/>
    <w:rsid w:val="008E465F"/>
    <w:rsid w:val="008E78D7"/>
    <w:rsid w:val="008E797B"/>
    <w:rsid w:val="008F13FB"/>
    <w:rsid w:val="008F1553"/>
    <w:rsid w:val="008F22B6"/>
    <w:rsid w:val="008F4AC6"/>
    <w:rsid w:val="0090341C"/>
    <w:rsid w:val="00904926"/>
    <w:rsid w:val="00905BDA"/>
    <w:rsid w:val="009103E7"/>
    <w:rsid w:val="00912ED2"/>
    <w:rsid w:val="0091661A"/>
    <w:rsid w:val="00917A9A"/>
    <w:rsid w:val="00920E60"/>
    <w:rsid w:val="0092165F"/>
    <w:rsid w:val="00925B76"/>
    <w:rsid w:val="009408AE"/>
    <w:rsid w:val="00942CD3"/>
    <w:rsid w:val="009548AA"/>
    <w:rsid w:val="00955DF5"/>
    <w:rsid w:val="009621D1"/>
    <w:rsid w:val="0096292A"/>
    <w:rsid w:val="00963CAF"/>
    <w:rsid w:val="00965690"/>
    <w:rsid w:val="00965B8C"/>
    <w:rsid w:val="00966710"/>
    <w:rsid w:val="00970101"/>
    <w:rsid w:val="009738F0"/>
    <w:rsid w:val="00973974"/>
    <w:rsid w:val="00976691"/>
    <w:rsid w:val="009914D9"/>
    <w:rsid w:val="00993F96"/>
    <w:rsid w:val="009951D6"/>
    <w:rsid w:val="00996862"/>
    <w:rsid w:val="00996E53"/>
    <w:rsid w:val="00997A72"/>
    <w:rsid w:val="009A1284"/>
    <w:rsid w:val="009A3FB0"/>
    <w:rsid w:val="009A6AE7"/>
    <w:rsid w:val="009A7A44"/>
    <w:rsid w:val="009B06BC"/>
    <w:rsid w:val="009B1EAB"/>
    <w:rsid w:val="009B53D3"/>
    <w:rsid w:val="009C1C11"/>
    <w:rsid w:val="009D241D"/>
    <w:rsid w:val="009D76A9"/>
    <w:rsid w:val="009E0297"/>
    <w:rsid w:val="009E0D53"/>
    <w:rsid w:val="009E24EF"/>
    <w:rsid w:val="009E2988"/>
    <w:rsid w:val="009E3185"/>
    <w:rsid w:val="009F081C"/>
    <w:rsid w:val="009F12D0"/>
    <w:rsid w:val="009F1B79"/>
    <w:rsid w:val="009F34CC"/>
    <w:rsid w:val="009F47FF"/>
    <w:rsid w:val="009F7133"/>
    <w:rsid w:val="00A028DA"/>
    <w:rsid w:val="00A03AAF"/>
    <w:rsid w:val="00A0602B"/>
    <w:rsid w:val="00A072EC"/>
    <w:rsid w:val="00A14CC9"/>
    <w:rsid w:val="00A16003"/>
    <w:rsid w:val="00A22F24"/>
    <w:rsid w:val="00A254BB"/>
    <w:rsid w:val="00A31A51"/>
    <w:rsid w:val="00A3216E"/>
    <w:rsid w:val="00A362B8"/>
    <w:rsid w:val="00A40381"/>
    <w:rsid w:val="00A57763"/>
    <w:rsid w:val="00A57D2F"/>
    <w:rsid w:val="00A674BD"/>
    <w:rsid w:val="00A7219D"/>
    <w:rsid w:val="00A76D23"/>
    <w:rsid w:val="00A820D4"/>
    <w:rsid w:val="00A82A5F"/>
    <w:rsid w:val="00A83F16"/>
    <w:rsid w:val="00A85312"/>
    <w:rsid w:val="00A86C06"/>
    <w:rsid w:val="00A90309"/>
    <w:rsid w:val="00A91B11"/>
    <w:rsid w:val="00A91BD1"/>
    <w:rsid w:val="00A91F6E"/>
    <w:rsid w:val="00A94632"/>
    <w:rsid w:val="00AA3FBD"/>
    <w:rsid w:val="00AA4281"/>
    <w:rsid w:val="00AB4763"/>
    <w:rsid w:val="00AC07B9"/>
    <w:rsid w:val="00AC2305"/>
    <w:rsid w:val="00AC3D76"/>
    <w:rsid w:val="00AC566C"/>
    <w:rsid w:val="00AC5DB6"/>
    <w:rsid w:val="00AD012B"/>
    <w:rsid w:val="00AD0509"/>
    <w:rsid w:val="00AD4500"/>
    <w:rsid w:val="00AD50B4"/>
    <w:rsid w:val="00AE749F"/>
    <w:rsid w:val="00AF1FD6"/>
    <w:rsid w:val="00AF3A19"/>
    <w:rsid w:val="00B03CB9"/>
    <w:rsid w:val="00B07554"/>
    <w:rsid w:val="00B119AC"/>
    <w:rsid w:val="00B12034"/>
    <w:rsid w:val="00B17E30"/>
    <w:rsid w:val="00B2193F"/>
    <w:rsid w:val="00B31A71"/>
    <w:rsid w:val="00B345E0"/>
    <w:rsid w:val="00B411A2"/>
    <w:rsid w:val="00B418E4"/>
    <w:rsid w:val="00B439DE"/>
    <w:rsid w:val="00B462A6"/>
    <w:rsid w:val="00B51DD0"/>
    <w:rsid w:val="00B61488"/>
    <w:rsid w:val="00B71D05"/>
    <w:rsid w:val="00B74223"/>
    <w:rsid w:val="00B74277"/>
    <w:rsid w:val="00B757FF"/>
    <w:rsid w:val="00B82CFF"/>
    <w:rsid w:val="00B84BD5"/>
    <w:rsid w:val="00B87863"/>
    <w:rsid w:val="00B94EAF"/>
    <w:rsid w:val="00B9519D"/>
    <w:rsid w:val="00B97861"/>
    <w:rsid w:val="00BA3D3A"/>
    <w:rsid w:val="00BA4023"/>
    <w:rsid w:val="00BA7B8E"/>
    <w:rsid w:val="00BB2F1C"/>
    <w:rsid w:val="00BB57D3"/>
    <w:rsid w:val="00BC04DB"/>
    <w:rsid w:val="00BC06E6"/>
    <w:rsid w:val="00BC0D70"/>
    <w:rsid w:val="00BC2F9D"/>
    <w:rsid w:val="00BC5ACA"/>
    <w:rsid w:val="00BD0726"/>
    <w:rsid w:val="00BD1281"/>
    <w:rsid w:val="00BE1880"/>
    <w:rsid w:val="00BE2E75"/>
    <w:rsid w:val="00BE54FD"/>
    <w:rsid w:val="00BE745E"/>
    <w:rsid w:val="00BF0B89"/>
    <w:rsid w:val="00BF30D3"/>
    <w:rsid w:val="00BF3AEE"/>
    <w:rsid w:val="00C03A4F"/>
    <w:rsid w:val="00C04455"/>
    <w:rsid w:val="00C061C2"/>
    <w:rsid w:val="00C07430"/>
    <w:rsid w:val="00C113B1"/>
    <w:rsid w:val="00C1184C"/>
    <w:rsid w:val="00C1382E"/>
    <w:rsid w:val="00C148E3"/>
    <w:rsid w:val="00C166CB"/>
    <w:rsid w:val="00C23B1A"/>
    <w:rsid w:val="00C24933"/>
    <w:rsid w:val="00C32045"/>
    <w:rsid w:val="00C33743"/>
    <w:rsid w:val="00C34DC2"/>
    <w:rsid w:val="00C425F9"/>
    <w:rsid w:val="00C44601"/>
    <w:rsid w:val="00C4655A"/>
    <w:rsid w:val="00C50675"/>
    <w:rsid w:val="00C51C61"/>
    <w:rsid w:val="00C532BF"/>
    <w:rsid w:val="00C56337"/>
    <w:rsid w:val="00C6671B"/>
    <w:rsid w:val="00C709DE"/>
    <w:rsid w:val="00C71E88"/>
    <w:rsid w:val="00C765F2"/>
    <w:rsid w:val="00C83454"/>
    <w:rsid w:val="00C86773"/>
    <w:rsid w:val="00C87680"/>
    <w:rsid w:val="00C947BA"/>
    <w:rsid w:val="00CA0988"/>
    <w:rsid w:val="00CA124A"/>
    <w:rsid w:val="00CA14F0"/>
    <w:rsid w:val="00CA7965"/>
    <w:rsid w:val="00CB0EC9"/>
    <w:rsid w:val="00CB10E6"/>
    <w:rsid w:val="00CB1621"/>
    <w:rsid w:val="00CB19E7"/>
    <w:rsid w:val="00CB2D7D"/>
    <w:rsid w:val="00CB4C8B"/>
    <w:rsid w:val="00CB557C"/>
    <w:rsid w:val="00CD013B"/>
    <w:rsid w:val="00CD6E68"/>
    <w:rsid w:val="00CE2EC4"/>
    <w:rsid w:val="00CF4BAF"/>
    <w:rsid w:val="00CF6EF9"/>
    <w:rsid w:val="00CF7880"/>
    <w:rsid w:val="00CF7EA8"/>
    <w:rsid w:val="00D05BFC"/>
    <w:rsid w:val="00D078F3"/>
    <w:rsid w:val="00D104A4"/>
    <w:rsid w:val="00D13FDB"/>
    <w:rsid w:val="00D22AB8"/>
    <w:rsid w:val="00D25AAF"/>
    <w:rsid w:val="00D25EF9"/>
    <w:rsid w:val="00D27BFF"/>
    <w:rsid w:val="00D27F7E"/>
    <w:rsid w:val="00D30B9E"/>
    <w:rsid w:val="00D32414"/>
    <w:rsid w:val="00D365CE"/>
    <w:rsid w:val="00D40048"/>
    <w:rsid w:val="00D402A5"/>
    <w:rsid w:val="00D40742"/>
    <w:rsid w:val="00D42BFB"/>
    <w:rsid w:val="00D43318"/>
    <w:rsid w:val="00D44531"/>
    <w:rsid w:val="00D45E01"/>
    <w:rsid w:val="00D5224C"/>
    <w:rsid w:val="00D557BE"/>
    <w:rsid w:val="00D566DC"/>
    <w:rsid w:val="00D602E4"/>
    <w:rsid w:val="00D63C77"/>
    <w:rsid w:val="00D6568C"/>
    <w:rsid w:val="00D70DB8"/>
    <w:rsid w:val="00D710ED"/>
    <w:rsid w:val="00D7117C"/>
    <w:rsid w:val="00D7450A"/>
    <w:rsid w:val="00D80B82"/>
    <w:rsid w:val="00D8750F"/>
    <w:rsid w:val="00D9093C"/>
    <w:rsid w:val="00D909FB"/>
    <w:rsid w:val="00D94BF9"/>
    <w:rsid w:val="00DB4830"/>
    <w:rsid w:val="00DB4ED3"/>
    <w:rsid w:val="00DC2FA1"/>
    <w:rsid w:val="00DC38AA"/>
    <w:rsid w:val="00DC4B73"/>
    <w:rsid w:val="00DC7F0E"/>
    <w:rsid w:val="00DD1614"/>
    <w:rsid w:val="00DD1B59"/>
    <w:rsid w:val="00DD1D32"/>
    <w:rsid w:val="00DD2C06"/>
    <w:rsid w:val="00DD6FCA"/>
    <w:rsid w:val="00DD7930"/>
    <w:rsid w:val="00DE3B1C"/>
    <w:rsid w:val="00DE41EF"/>
    <w:rsid w:val="00DE6217"/>
    <w:rsid w:val="00DF0C21"/>
    <w:rsid w:val="00DF3A96"/>
    <w:rsid w:val="00DF5465"/>
    <w:rsid w:val="00DF6121"/>
    <w:rsid w:val="00E02BCA"/>
    <w:rsid w:val="00E02D9B"/>
    <w:rsid w:val="00E02DE0"/>
    <w:rsid w:val="00E051E4"/>
    <w:rsid w:val="00E05B9C"/>
    <w:rsid w:val="00E05D02"/>
    <w:rsid w:val="00E07E90"/>
    <w:rsid w:val="00E10878"/>
    <w:rsid w:val="00E1266C"/>
    <w:rsid w:val="00E13FB3"/>
    <w:rsid w:val="00E20270"/>
    <w:rsid w:val="00E22BE8"/>
    <w:rsid w:val="00E24F69"/>
    <w:rsid w:val="00E31551"/>
    <w:rsid w:val="00E45116"/>
    <w:rsid w:val="00E50B31"/>
    <w:rsid w:val="00E5147D"/>
    <w:rsid w:val="00E52A59"/>
    <w:rsid w:val="00E534CF"/>
    <w:rsid w:val="00E54003"/>
    <w:rsid w:val="00E56F95"/>
    <w:rsid w:val="00E5736B"/>
    <w:rsid w:val="00E5783D"/>
    <w:rsid w:val="00E64B32"/>
    <w:rsid w:val="00E728C4"/>
    <w:rsid w:val="00E72F9F"/>
    <w:rsid w:val="00E7331C"/>
    <w:rsid w:val="00E74E74"/>
    <w:rsid w:val="00E757F9"/>
    <w:rsid w:val="00E77C48"/>
    <w:rsid w:val="00E80050"/>
    <w:rsid w:val="00E80070"/>
    <w:rsid w:val="00E80F9A"/>
    <w:rsid w:val="00E82C02"/>
    <w:rsid w:val="00E879E7"/>
    <w:rsid w:val="00E909B2"/>
    <w:rsid w:val="00E933FD"/>
    <w:rsid w:val="00E94567"/>
    <w:rsid w:val="00E974B8"/>
    <w:rsid w:val="00EA11BA"/>
    <w:rsid w:val="00EB5376"/>
    <w:rsid w:val="00EC0163"/>
    <w:rsid w:val="00EC19D7"/>
    <w:rsid w:val="00EC29EA"/>
    <w:rsid w:val="00EC2E8E"/>
    <w:rsid w:val="00EC4429"/>
    <w:rsid w:val="00EC4E68"/>
    <w:rsid w:val="00EC519D"/>
    <w:rsid w:val="00EC5A71"/>
    <w:rsid w:val="00EC7897"/>
    <w:rsid w:val="00ED2360"/>
    <w:rsid w:val="00ED2412"/>
    <w:rsid w:val="00ED4A1D"/>
    <w:rsid w:val="00ED57EE"/>
    <w:rsid w:val="00EE12F8"/>
    <w:rsid w:val="00EE4061"/>
    <w:rsid w:val="00EE44F1"/>
    <w:rsid w:val="00EF0218"/>
    <w:rsid w:val="00EF5CD4"/>
    <w:rsid w:val="00F00E4C"/>
    <w:rsid w:val="00F013D6"/>
    <w:rsid w:val="00F01C5D"/>
    <w:rsid w:val="00F10F1C"/>
    <w:rsid w:val="00F1745A"/>
    <w:rsid w:val="00F17D88"/>
    <w:rsid w:val="00F20E10"/>
    <w:rsid w:val="00F22309"/>
    <w:rsid w:val="00F30F73"/>
    <w:rsid w:val="00F3425B"/>
    <w:rsid w:val="00F34BF4"/>
    <w:rsid w:val="00F36F1E"/>
    <w:rsid w:val="00F412B9"/>
    <w:rsid w:val="00F4282A"/>
    <w:rsid w:val="00F440CE"/>
    <w:rsid w:val="00F45B9E"/>
    <w:rsid w:val="00F4603D"/>
    <w:rsid w:val="00F47B14"/>
    <w:rsid w:val="00F5334B"/>
    <w:rsid w:val="00F53678"/>
    <w:rsid w:val="00F54CF8"/>
    <w:rsid w:val="00F612C0"/>
    <w:rsid w:val="00F6249A"/>
    <w:rsid w:val="00F65532"/>
    <w:rsid w:val="00F67B1E"/>
    <w:rsid w:val="00F749CE"/>
    <w:rsid w:val="00F8138D"/>
    <w:rsid w:val="00F84FA8"/>
    <w:rsid w:val="00F87162"/>
    <w:rsid w:val="00F873F2"/>
    <w:rsid w:val="00F8766D"/>
    <w:rsid w:val="00F90BFA"/>
    <w:rsid w:val="00F9369F"/>
    <w:rsid w:val="00F93DD7"/>
    <w:rsid w:val="00F94AEA"/>
    <w:rsid w:val="00F9733D"/>
    <w:rsid w:val="00F97B38"/>
    <w:rsid w:val="00FA0FA9"/>
    <w:rsid w:val="00FA1D08"/>
    <w:rsid w:val="00FA4C74"/>
    <w:rsid w:val="00FA5B2B"/>
    <w:rsid w:val="00FB1F2D"/>
    <w:rsid w:val="00FB2F95"/>
    <w:rsid w:val="00FC2A00"/>
    <w:rsid w:val="00FC2DAD"/>
    <w:rsid w:val="00FC3C1C"/>
    <w:rsid w:val="00FC485C"/>
    <w:rsid w:val="00FC4937"/>
    <w:rsid w:val="00FC537C"/>
    <w:rsid w:val="00FC6F0A"/>
    <w:rsid w:val="00FD18F0"/>
    <w:rsid w:val="00FD6F6E"/>
    <w:rsid w:val="00FE3388"/>
    <w:rsid w:val="00FE7D8F"/>
    <w:rsid w:val="00FF0A34"/>
    <w:rsid w:val="00FF2517"/>
    <w:rsid w:val="00FF6DB5"/>
    <w:rsid w:val="00FF7A90"/>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90548-CF0F-486E-8BA5-644AC635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5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B1A21"/>
    <w:pPr>
      <w:ind w:left="720"/>
      <w:contextualSpacing/>
    </w:pPr>
  </w:style>
  <w:style w:type="paragraph" w:styleId="Header">
    <w:name w:val="header"/>
    <w:basedOn w:val="Normal"/>
    <w:link w:val="HeaderChar"/>
    <w:uiPriority w:val="99"/>
    <w:unhideWhenUsed/>
    <w:rsid w:val="005B1A21"/>
    <w:pPr>
      <w:tabs>
        <w:tab w:val="center" w:pos="4680"/>
        <w:tab w:val="right" w:pos="9360"/>
      </w:tabs>
    </w:pPr>
  </w:style>
  <w:style w:type="character" w:customStyle="1" w:styleId="HeaderChar">
    <w:name w:val="Header Char"/>
    <w:basedOn w:val="DefaultParagraphFont"/>
    <w:link w:val="Header"/>
    <w:uiPriority w:val="99"/>
    <w:rsid w:val="005B1A21"/>
    <w:rPr>
      <w:rFonts w:ascii="Times New Roman" w:eastAsia="Times New Roman" w:hAnsi="Times New Roman" w:cs="Times New Roman"/>
      <w:sz w:val="24"/>
      <w:szCs w:val="24"/>
    </w:rPr>
  </w:style>
  <w:style w:type="paragraph" w:styleId="Footer">
    <w:name w:val="footer"/>
    <w:basedOn w:val="Normal"/>
    <w:link w:val="FooterChar"/>
    <w:unhideWhenUsed/>
    <w:rsid w:val="005B1A21"/>
    <w:pPr>
      <w:tabs>
        <w:tab w:val="center" w:pos="4680"/>
        <w:tab w:val="right" w:pos="9360"/>
      </w:tabs>
    </w:pPr>
  </w:style>
  <w:style w:type="character" w:customStyle="1" w:styleId="FooterChar">
    <w:name w:val="Footer Char"/>
    <w:basedOn w:val="DefaultParagraphFont"/>
    <w:link w:val="Footer"/>
    <w:uiPriority w:val="99"/>
    <w:rsid w:val="005B1A21"/>
    <w:rPr>
      <w:rFonts w:ascii="Times New Roman" w:eastAsia="Times New Roman" w:hAnsi="Times New Roman" w:cs="Times New Roman"/>
      <w:sz w:val="24"/>
      <w:szCs w:val="24"/>
    </w:rPr>
  </w:style>
  <w:style w:type="paragraph" w:customStyle="1" w:styleId="Default">
    <w:name w:val="Default"/>
    <w:rsid w:val="005D05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A6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392"/>
    <w:rPr>
      <w:rFonts w:ascii="Segoe UI" w:eastAsia="Times New Roman" w:hAnsi="Segoe UI" w:cs="Segoe UI"/>
      <w:sz w:val="18"/>
      <w:szCs w:val="18"/>
    </w:rPr>
  </w:style>
  <w:style w:type="paragraph" w:styleId="BodyText">
    <w:name w:val="Body Text"/>
    <w:basedOn w:val="Normal"/>
    <w:link w:val="BodyTextChar"/>
    <w:rsid w:val="0056047B"/>
    <w:pPr>
      <w:suppressAutoHyphens/>
      <w:autoSpaceDN w:val="0"/>
      <w:jc w:val="both"/>
      <w:textAlignment w:val="baseline"/>
    </w:pPr>
    <w:rPr>
      <w:sz w:val="28"/>
      <w:szCs w:val="20"/>
    </w:rPr>
  </w:style>
  <w:style w:type="character" w:customStyle="1" w:styleId="BodyTextChar">
    <w:name w:val="Body Text Char"/>
    <w:basedOn w:val="DefaultParagraphFont"/>
    <w:link w:val="BodyText"/>
    <w:rsid w:val="0056047B"/>
    <w:rPr>
      <w:rFonts w:ascii="Times New Roman" w:eastAsia="Times New Roman" w:hAnsi="Times New Roman" w:cs="Times New Roman"/>
      <w:sz w:val="28"/>
      <w:szCs w:val="20"/>
    </w:rPr>
  </w:style>
  <w:style w:type="paragraph" w:styleId="FootnoteText">
    <w:name w:val="footnote text"/>
    <w:basedOn w:val="Normal"/>
    <w:link w:val="FootnoteTextChar"/>
    <w:unhideWhenUsed/>
    <w:rsid w:val="006E6492"/>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6E6492"/>
    <w:rPr>
      <w:rFonts w:ascii="Calibri" w:eastAsia="Calibri" w:hAnsi="Calibri" w:cs="Times New Roman"/>
      <w:sz w:val="20"/>
      <w:szCs w:val="20"/>
    </w:rPr>
  </w:style>
  <w:style w:type="character" w:styleId="FootnoteReference">
    <w:name w:val="footnote reference"/>
    <w:unhideWhenUsed/>
    <w:rsid w:val="006E6492"/>
    <w:rPr>
      <w:vertAlign w:val="superscript"/>
    </w:rPr>
  </w:style>
  <w:style w:type="paragraph" w:styleId="CommentText">
    <w:name w:val="annotation text"/>
    <w:basedOn w:val="Normal"/>
    <w:link w:val="CommentTextChar"/>
    <w:uiPriority w:val="99"/>
    <w:semiHidden/>
    <w:unhideWhenUsed/>
    <w:rsid w:val="003904AE"/>
    <w:rPr>
      <w:sz w:val="20"/>
      <w:szCs w:val="20"/>
    </w:rPr>
  </w:style>
  <w:style w:type="character" w:customStyle="1" w:styleId="CommentTextChar">
    <w:name w:val="Comment Text Char"/>
    <w:basedOn w:val="DefaultParagraphFont"/>
    <w:link w:val="CommentText"/>
    <w:uiPriority w:val="99"/>
    <w:semiHidden/>
    <w:rsid w:val="003904AE"/>
    <w:rPr>
      <w:rFonts w:ascii="Times New Roman" w:eastAsia="Times New Roman" w:hAnsi="Times New Roman" w:cs="Times New Roman"/>
      <w:sz w:val="20"/>
      <w:szCs w:val="20"/>
    </w:rPr>
  </w:style>
  <w:style w:type="character" w:styleId="CommentReference">
    <w:name w:val="annotation reference"/>
    <w:uiPriority w:val="99"/>
    <w:semiHidden/>
    <w:unhideWhenUsed/>
    <w:rsid w:val="003904AE"/>
    <w:rPr>
      <w:sz w:val="16"/>
      <w:szCs w:val="16"/>
    </w:rPr>
  </w:style>
  <w:style w:type="paragraph" w:styleId="EndnoteText">
    <w:name w:val="endnote text"/>
    <w:basedOn w:val="Normal"/>
    <w:link w:val="EndnoteTextChar"/>
    <w:uiPriority w:val="99"/>
    <w:semiHidden/>
    <w:unhideWhenUsed/>
    <w:rsid w:val="005224EE"/>
    <w:rPr>
      <w:sz w:val="20"/>
      <w:szCs w:val="20"/>
    </w:rPr>
  </w:style>
  <w:style w:type="character" w:customStyle="1" w:styleId="EndnoteTextChar">
    <w:name w:val="Endnote Text Char"/>
    <w:basedOn w:val="DefaultParagraphFont"/>
    <w:link w:val="EndnoteText"/>
    <w:uiPriority w:val="99"/>
    <w:semiHidden/>
    <w:rsid w:val="005224E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224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9CED6-263F-473C-AF84-BDAE76D5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Biggs, Jr.</dc:creator>
  <cp:keywords/>
  <dc:description/>
  <cp:lastModifiedBy>Wayne Biggs, Jr.</cp:lastModifiedBy>
  <cp:revision>13</cp:revision>
  <cp:lastPrinted>2020-12-22T15:37:00Z</cp:lastPrinted>
  <dcterms:created xsi:type="dcterms:W3CDTF">2021-07-22T15:35:00Z</dcterms:created>
  <dcterms:modified xsi:type="dcterms:W3CDTF">2021-07-22T19:03:00Z</dcterms:modified>
</cp:coreProperties>
</file>